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81" w:rsidRDefault="006A2256">
      <w:pPr>
        <w:pStyle w:val="BodyText"/>
        <w:spacing w:before="31"/>
        <w:ind w:left="3211"/>
      </w:pPr>
      <w: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19477</wp:posOffset>
            </wp:positionV>
            <wp:extent cx="1462023" cy="960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Republika Srbija</w:t>
      </w:r>
    </w:p>
    <w:p w:rsidR="001F2181" w:rsidRDefault="000D475C">
      <w:pPr>
        <w:pStyle w:val="BodyText"/>
        <w:ind w:left="3211"/>
      </w:pPr>
      <w:r>
        <w:t xml:space="preserve">Autonomna Pokrajina Vojvodina</w:t>
      </w:r>
    </w:p>
    <w:p w:rsidR="001F2181" w:rsidRDefault="000D475C">
      <w:pPr>
        <w:spacing w:before="1"/>
        <w:ind w:left="3211" w:right="1893"/>
      </w:pPr>
      <w:r>
        <w:t xml:space="preserve">Pokrajinsko tajništvo za  obrazovanje, propise, upravu i nacionalne manjine – nacionalne zajednice, Bulevar Mihajla Pupina 16, 21000 Novi Sad,</w:t>
      </w:r>
    </w:p>
    <w:p w:rsidR="001F2181" w:rsidRDefault="000D475C">
      <w:pPr>
        <w:pStyle w:val="BodyText"/>
        <w:spacing w:line="267" w:lineRule="exact"/>
        <w:ind w:left="3211"/>
      </w:pPr>
      <w:r>
        <w:t xml:space="preserve">T:</w:t>
      </w:r>
      <w:r>
        <w:t xml:space="preserve"> </w:t>
      </w:r>
      <w:r>
        <w:t xml:space="preserve">+381 21 487 46 14, 487 40 36, 487 43 36</w:t>
      </w:r>
    </w:p>
    <w:p w:rsidR="001F2181" w:rsidRDefault="006A2256">
      <w:pPr>
        <w:pStyle w:val="BodyText"/>
        <w:ind w:left="3211"/>
      </w:pPr>
      <w:hyperlink r:id="rId7">
        <w:r>
          <w:rPr>
            <w:color w:val="0000FF"/>
            <w:u w:val="single" w:color="0000FF"/>
          </w:rPr>
          <w:t xml:space="preserve">ounz@vojvodina.gov.rs</w:t>
        </w:r>
      </w:hyperlink>
    </w:p>
    <w:p w:rsidR="001F2181" w:rsidRDefault="001F2181">
      <w:pPr>
        <w:pStyle w:val="BodyText"/>
        <w:spacing w:before="5"/>
        <w:rPr>
          <w:sz w:val="19"/>
        </w:rPr>
      </w:pPr>
    </w:p>
    <w:p w:rsidR="001F2181" w:rsidRDefault="000D475C">
      <w:pPr>
        <w:pStyle w:val="BodyText"/>
        <w:tabs>
          <w:tab w:val="left" w:pos="6808"/>
        </w:tabs>
        <w:spacing w:before="56"/>
        <w:ind w:left="429"/>
      </w:pPr>
      <w:r>
        <w:t xml:space="preserve">KLASA:</w:t>
      </w:r>
      <w:r>
        <w:t xml:space="preserve"> </w:t>
      </w:r>
      <w:r>
        <w:t xml:space="preserve">000227348 2025 09427 004 001 000 001/7-2</w:t>
        <w:tab/>
        <w:t xml:space="preserve">DATUM:</w:t>
      </w:r>
      <w:r>
        <w:t xml:space="preserve"> </w:t>
      </w:r>
      <w:r>
        <w:t xml:space="preserve">6.6.2025. godine</w:t>
      </w:r>
    </w:p>
    <w:p w:rsidR="001F2181" w:rsidRDefault="001F2181">
      <w:pPr>
        <w:pStyle w:val="BodyText"/>
        <w:spacing w:before="7"/>
        <w:rPr>
          <w:sz w:val="19"/>
        </w:rPr>
      </w:pPr>
    </w:p>
    <w:p w:rsidR="001F2181" w:rsidRDefault="000D475C">
      <w:pPr>
        <w:pStyle w:val="BodyText"/>
        <w:spacing w:before="57"/>
        <w:ind w:left="801" w:right="764" w:firstLine="540"/>
        <w:jc w:val="both"/>
      </w:pPr>
      <w:r>
        <w:t xml:space="preserve">Na temelju članaka</w:t>
      </w:r>
      <w:r>
        <w:t xml:space="preserve"> </w:t>
      </w:r>
      <w:r>
        <w:t xml:space="preserve">15., 16. stavaka</w:t>
      </w:r>
      <w:r>
        <w:t xml:space="preserve"> </w:t>
      </w:r>
      <w:r>
        <w:t xml:space="preserve">1. i 5. i 24. stavka 2.</w:t>
      </w:r>
      <w:r>
        <w:t xml:space="preserve"> </w:t>
      </w:r>
      <w:r>
        <w:t xml:space="preserve">Pokrajinske skupštinske odluke o pokrajinskoj upravi (Službeni list APV“, 37/14, 54/14 ‒ dr. odluka,  37/16,  29/17,  24/19,  66/20, 38/21 i 22/25), člank 23. stavak. i 4.</w:t>
      </w:r>
      <w:r>
        <w:t xml:space="preserve"> </w:t>
      </w:r>
      <w:r>
        <w:t xml:space="preserve">Pokrajinske skupštinske odluke o proračunu Autonomne Pokrajine Vojvodine za 2025. godinu („Službeni list APV“, broj:</w:t>
      </w:r>
      <w:r>
        <w:t xml:space="preserve"> </w:t>
      </w:r>
      <w:r>
        <w:t xml:space="preserve">57/24), članka 8.</w:t>
      </w:r>
      <w:r>
        <w:t xml:space="preserve"> </w:t>
      </w:r>
      <w:r>
        <w:t xml:space="preserve">Pravilnika o dodjeli proračunskih sredstava Pokrajinskog tajništva za obrazovanje, propise, upravu i nacionalne manjine– nacionalne zajednice za financiranje i sufinanciranje izrade tehničke dokumentacije za potrebe ustanova osnovnog, srednjeg obrazovanja i odgoja i predškolskih ustanova na teritoriju AP Vojvodine („Službeni list APV“, broj:</w:t>
      </w:r>
      <w:r>
        <w:t xml:space="preserve"> </w:t>
      </w:r>
      <w:r>
        <w:t xml:space="preserve">5/25 i 11/25), a po provedenom Natječaju za financiranje i sufinanciranje izrade tehničke dokumentacije za potrebe ustanova osnovnog i srednjeg obrazovanja i odgoja   i   predškolskih   ustanova   broj   000227348   2025   09427   004   001   000   001 od 29.01.2025. godine i  25.02.2025. godine  („Sl. list  APV“,  broj 6/2025  i  11/25), Pokrajinski tajnik donosi:</w:t>
      </w:r>
    </w:p>
    <w:p w:rsidR="001F2181" w:rsidRDefault="001F2181">
      <w:pPr>
        <w:pStyle w:val="BodyText"/>
        <w:spacing w:before="10"/>
        <w:rPr>
          <w:sz w:val="21"/>
        </w:rPr>
      </w:pPr>
    </w:p>
    <w:p w:rsidR="001F2181" w:rsidRDefault="000D475C">
      <w:pPr>
        <w:pStyle w:val="Heading2"/>
        <w:ind w:left="1039"/>
      </w:pPr>
      <w:r>
        <w:t xml:space="preserve">RJEŠENJE</w:t>
      </w:r>
    </w:p>
    <w:p w:rsidR="001F2181" w:rsidRDefault="000D475C">
      <w:pPr>
        <w:spacing w:before="1"/>
        <w:ind w:left="1044" w:right="823"/>
        <w:jc w:val="center"/>
        <w:rPr>
          <w:b/>
        </w:rPr>
      </w:pPr>
      <w:r>
        <w:rPr>
          <w:b/>
        </w:rPr>
        <w:t xml:space="preserve">O RASPODJELI PRORAČUNSKIH SREDSTAVA POKRAJINSKOG TAJNIŠTVA ZA OBRAZOVANJE, PROPISE, UPRAVU I NACIONALNE MANJINE – NACIONALNE ZAJEDNICE ZA FINANCIRANJE I SUFINANCIRANJE IZRADE TEHNIČKE DOKUMENTACIJE ZA POTREBE USTANOVA SREDNJEG OBRAZOVANJA</w:t>
      </w:r>
      <w:r>
        <w:rPr>
          <w:b/>
        </w:rPr>
        <w:t xml:space="preserve"> </w:t>
      </w:r>
      <w:r>
        <w:rPr>
          <w:b/>
        </w:rPr>
        <w:t xml:space="preserve">I ODGOJA </w:t>
      </w:r>
      <w:r>
        <w:rPr>
          <w:b/>
        </w:rPr>
        <w:t xml:space="preserve">NA TERITORIJU AUTONOMNE POKRAJINE VOJVODINE ZA 2025.</w:t>
      </w:r>
      <w:r>
        <w:rPr>
          <w:b/>
        </w:rPr>
        <w:t xml:space="preserve"> </w:t>
      </w:r>
      <w:r>
        <w:rPr>
          <w:b/>
        </w:rPr>
        <w:t xml:space="preserve">GODINU</w:t>
      </w:r>
    </w:p>
    <w:p w:rsidR="001F2181" w:rsidRDefault="001F2181">
      <w:pPr>
        <w:pStyle w:val="BodyText"/>
        <w:spacing w:before="1"/>
        <w:rPr>
          <w:b/>
        </w:rPr>
      </w:pPr>
    </w:p>
    <w:p w:rsidR="001F2181" w:rsidRDefault="006A2256">
      <w:pPr>
        <w:ind w:left="218"/>
        <w:jc w:val="center"/>
        <w:rPr>
          <w:b/>
        </w:rPr>
      </w:pPr>
      <w:r>
        <w:rPr>
          <w:b/>
        </w:rPr>
        <w:t xml:space="preserve">I.</w:t>
      </w:r>
    </w:p>
    <w:p w:rsidR="001F2181" w:rsidRDefault="000D475C">
      <w:pPr>
        <w:ind w:left="943" w:right="765" w:firstLine="566"/>
        <w:jc w:val="both"/>
      </w:pPr>
      <w:r>
        <w:t xml:space="preserve">Ovim rješenjem se utvrđuje raspodjela proračunskih sredstava Pokrajinskog tajništva za obrazovanje, propise, upravu i nacionalne manjine – nacionalne zajednice ustanovama osnovnog obrazovanja i odgoja</w:t>
      </w:r>
      <w:r>
        <w:rPr>
          <w:b/>
        </w:rPr>
        <w:t xml:space="preserve"> po </w:t>
      </w:r>
      <w:r>
        <w:rPr>
          <w:i/>
        </w:rPr>
        <w:t xml:space="preserve">Natječaju za za financiranje i sufinanciranje izrade tehničke dokumentacije za potrebe ustanova osnovnog i srednjeg obrazovanja i odgoja i predškolskih ustanova na teritoriju Autonomne Pokrajine Vojvodine za 2025. godinu broj 000227348 2025 09427 004 001 000 001 od 29.01.2025. godine i 25.02.2025. godine (u daljnjem tekstu:</w:t>
      </w:r>
      <w:r>
        <w:rPr>
          <w:i/>
        </w:rPr>
        <w:t xml:space="preserve"> </w:t>
      </w:r>
      <w:r>
        <w:rPr>
          <w:i/>
        </w:rPr>
        <w:t xml:space="preserve">Natječaj)</w:t>
      </w:r>
      <w:r>
        <w:t xml:space="preserve">.</w:t>
      </w:r>
    </w:p>
    <w:p w:rsidR="001F2181" w:rsidRDefault="001F2181">
      <w:pPr>
        <w:pStyle w:val="BodyText"/>
      </w:pPr>
    </w:p>
    <w:p w:rsidR="001F2181" w:rsidRDefault="006A2256">
      <w:pPr>
        <w:pStyle w:val="Heading2"/>
      </w:pPr>
      <w:r>
        <w:t xml:space="preserve">II.</w:t>
      </w:r>
    </w:p>
    <w:p w:rsidR="001F2181" w:rsidRDefault="000D475C">
      <w:pPr>
        <w:spacing w:before="2" w:line="237" w:lineRule="auto"/>
        <w:ind w:left="943" w:right="777" w:firstLine="566"/>
        <w:jc w:val="both"/>
      </w:pPr>
      <w:r>
        <w:t xml:space="preserve">Natječajem je opredijeljeno za sve razine obrazovanja ukupno </w:t>
      </w:r>
      <w:r>
        <w:rPr>
          <w:b/>
        </w:rPr>
        <w:t xml:space="preserve">30.000.000,00 dinara, </w:t>
      </w:r>
      <w:r>
        <w:t xml:space="preserve">a u okviru toga za razinu srednjeg obrazovanja i odgoja </w:t>
      </w:r>
      <w:r>
        <w:rPr>
          <w:b/>
        </w:rPr>
        <w:t xml:space="preserve">10.000.000,00 dinara</w:t>
      </w:r>
      <w:r>
        <w:t xml:space="preserve">.</w:t>
      </w:r>
    </w:p>
    <w:p w:rsidR="001F2181" w:rsidRDefault="000D475C">
      <w:pPr>
        <w:pStyle w:val="BodyText"/>
        <w:spacing w:before="2"/>
        <w:ind w:left="943" w:right="777" w:firstLine="566"/>
        <w:jc w:val="both"/>
      </w:pPr>
      <w:r>
        <w:t xml:space="preserve">Ovim rješenjem se obavlja raspodjela sredstava za ustanove osnovnog obrazovanja i odgoja na teritoriju Autonomne Pokrajine Vojvodine u ukupnom iznosu od </w:t>
      </w:r>
      <w:r>
        <w:rPr>
          <w:b/>
          <w:bCs/>
        </w:rPr>
        <w:t xml:space="preserve">9.754.300,00 dinara.</w:t>
      </w:r>
      <w:r>
        <w:rPr>
          <w:b/>
        </w:rPr>
        <w:t xml:space="preserve"> </w:t>
      </w:r>
      <w:r>
        <w:t xml:space="preserve">Sredstva u iznosu od 245.700,00 dinara ostaju neraspoređena.</w:t>
      </w:r>
    </w:p>
    <w:p w:rsidR="001F2181" w:rsidRDefault="000D475C">
      <w:pPr>
        <w:pStyle w:val="BodyText"/>
        <w:ind w:left="988" w:right="766" w:firstLine="520"/>
        <w:jc w:val="both"/>
      </w:pPr>
      <w:r>
        <w:t xml:space="preserve">Sredstva se odobravaju ustanovama srednjeg obrazovanja i odgoja (u daljnjem tekstu:</w:t>
      </w:r>
      <w:r>
        <w:t xml:space="preserve"> </w:t>
      </w:r>
      <w:r>
        <w:t xml:space="preserve">Korisnici) u skladu s priloženom Tablicom 2.</w:t>
      </w:r>
      <w:r>
        <w:t xml:space="preserve"> </w:t>
      </w:r>
      <w:r>
        <w:t xml:space="preserve">RASPODJELA SREDSTAVA ZA FINANCIRANJE I SUFINANCIRANJE IZRADE TEHNIČKE DOKUMENTACIJE USTANOVA SREDNJEG OBRAZOVANJA I ODGOJA NA TERITORIJU AUTONOMNE POKRAJINE</w:t>
      </w:r>
    </w:p>
    <w:p w:rsidR="001F2181" w:rsidRDefault="000D475C">
      <w:pPr>
        <w:pStyle w:val="BodyText"/>
        <w:spacing w:before="1"/>
        <w:ind w:left="988"/>
      </w:pPr>
      <w:r>
        <w:t xml:space="preserve">VOJVODINE ZA 2025.</w:t>
      </w:r>
      <w:r>
        <w:t xml:space="preserve"> </w:t>
      </w:r>
      <w:r>
        <w:t xml:space="preserve">GODINU, koja čini sastavni dio ovog rješenja.</w:t>
      </w:r>
    </w:p>
    <w:p w:rsidR="001F2181" w:rsidRDefault="001F2181">
      <w:pPr>
        <w:pStyle w:val="BodyText"/>
        <w:spacing w:before="1"/>
      </w:pPr>
    </w:p>
    <w:p w:rsidR="001F2181" w:rsidRDefault="006A2256">
      <w:pPr>
        <w:pStyle w:val="Heading2"/>
      </w:pPr>
      <w:r>
        <w:rPr>
          <w:b/>
          <w:bCs/>
        </w:rPr>
        <w:t xml:space="preserve">III.</w:t>
      </w:r>
    </w:p>
    <w:p w:rsidR="001F2181" w:rsidRDefault="001F2181">
      <w:pPr>
        <w:sectPr w:rsidR="001F21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80" w:right="920" w:bottom="280" w:left="900" w:header="720" w:footer="720" w:gutter="0"/>
          <w:cols w:space="720"/>
        </w:sectPr>
      </w:pPr>
    </w:p>
    <w:p w:rsidR="001F2181" w:rsidRDefault="006A2256">
      <w:pPr>
        <w:spacing w:before="60"/>
        <w:ind w:left="5160"/>
        <w:rPr>
          <w:sz w:val="24"/>
          <w:rFonts w:ascii="Times New Roman"/>
        </w:rPr>
      </w:pPr>
      <w:r>
        <w:rPr>
          <w:sz w:val="24"/>
          <w:rFonts w:ascii="Times New Roman"/>
        </w:rPr>
        <w:t xml:space="preserve">2</w:t>
      </w:r>
    </w:p>
    <w:p w:rsidR="001F2181" w:rsidRDefault="000D475C">
      <w:pPr>
        <w:pStyle w:val="BodyText"/>
        <w:ind w:left="943" w:right="712" w:firstLine="626"/>
        <w:jc w:val="both"/>
      </w:pPr>
      <w:r>
        <w:t xml:space="preserve">Sredstva iz točke II. stavka 2. ovog rješenja utvrđena su Pokrajinskom skupštinskom odlukom o proračunu Autonomne Pokrajine Vojvodine za 2025. godinu, na posebnom razdjelu Pokrajinskog tajništva za obrazovanje, propise, upravu i nacionalne manjine – nacionalne zajednice (u daljnjem tekstu:</w:t>
      </w:r>
      <w:r>
        <w:t xml:space="preserve"> </w:t>
      </w:r>
      <w:r>
        <w:t xml:space="preserve"> Tajništvo), i to na Programu 2004 – Srednje obrazovanje,  Programska aktivnost 1005 – Modernizacija infrastrukture srednjih škola, Funkcionalna klasifikacija 920, Ekonomska klasifikacija 4632 - Kapitalni transferi ostalim razinama vlasti, Izvor financiranja 01 00 – Opći prihodi i primici proračuna, a prenose se korisnicima sukladno priljevu sredstava u proračun AP Vojvodine, odnosno likvidnim mogućnostima proračuna.</w:t>
      </w:r>
    </w:p>
    <w:p w:rsidR="001F2181" w:rsidRDefault="001F2181">
      <w:pPr>
        <w:pStyle w:val="BodyText"/>
      </w:pPr>
    </w:p>
    <w:p w:rsidR="001F2181" w:rsidRDefault="006A2256">
      <w:pPr>
        <w:pStyle w:val="Heading2"/>
      </w:pPr>
      <w:r>
        <w:t xml:space="preserve">IV.</w:t>
      </w:r>
    </w:p>
    <w:p w:rsidR="001F2181" w:rsidRDefault="000D475C">
      <w:pPr>
        <w:pStyle w:val="BodyText"/>
        <w:ind w:left="943" w:right="766" w:firstLine="566"/>
        <w:jc w:val="both"/>
      </w:pPr>
      <w:r>
        <w:t xml:space="preserve">Korisnici su obvezni prilikom nabave tehničke dokumentacije postupiti sukladno odredbama Zakona o javnim nabavama i podzakonskim aktima koji reguliraju javne nabave.</w:t>
      </w:r>
    </w:p>
    <w:p w:rsidR="001F2181" w:rsidRDefault="001F2181">
      <w:pPr>
        <w:pStyle w:val="BodyText"/>
        <w:spacing w:before="11"/>
        <w:rPr>
          <w:sz w:val="21"/>
        </w:rPr>
      </w:pPr>
    </w:p>
    <w:p w:rsidR="001F2181" w:rsidRDefault="006A2256">
      <w:pPr>
        <w:pStyle w:val="Heading2"/>
        <w:ind w:left="217" w:right="0"/>
      </w:pPr>
      <w:r>
        <w:t xml:space="preserve">V.</w:t>
      </w:r>
    </w:p>
    <w:p w:rsidR="001F2181" w:rsidRDefault="000D475C">
      <w:pPr>
        <w:pStyle w:val="BodyText"/>
        <w:ind w:left="988" w:right="766" w:firstLine="520"/>
        <w:jc w:val="both"/>
      </w:pPr>
      <w:r>
        <w:t xml:space="preserve">Tajništvo će obavijestiti Korisnike o raspodjeli sredstava koja je utvrđena ovim rješenjem.</w:t>
      </w:r>
    </w:p>
    <w:p w:rsidR="001F2181" w:rsidRDefault="001F2181">
      <w:pPr>
        <w:pStyle w:val="BodyText"/>
        <w:spacing w:before="1"/>
      </w:pPr>
    </w:p>
    <w:p w:rsidR="001F2181" w:rsidRDefault="006A2256">
      <w:pPr>
        <w:pStyle w:val="Heading2"/>
        <w:ind w:left="1041"/>
      </w:pPr>
      <w:r>
        <w:t xml:space="preserve">VI.</w:t>
      </w:r>
    </w:p>
    <w:p w:rsidR="001F2181" w:rsidRDefault="000D475C">
      <w:pPr>
        <w:pStyle w:val="BodyText"/>
        <w:ind w:left="1044" w:right="671"/>
        <w:jc w:val="center"/>
      </w:pPr>
      <w:r>
        <w:t xml:space="preserve">Tajništvo će obvezu prema Korisnicima preuzeti na temelju pismenog ugovora.</w:t>
      </w:r>
    </w:p>
    <w:p w:rsidR="001F2181" w:rsidRDefault="001F2181">
      <w:pPr>
        <w:pStyle w:val="BodyText"/>
        <w:spacing w:before="1"/>
      </w:pPr>
    </w:p>
    <w:p w:rsidR="001F2181" w:rsidRDefault="006A2256">
      <w:pPr>
        <w:pStyle w:val="Heading2"/>
        <w:spacing w:line="267" w:lineRule="exact"/>
      </w:pPr>
      <w:r>
        <w:rPr>
          <w:b/>
          <w:bCs/>
        </w:rPr>
        <w:t xml:space="preserve">VII.</w:t>
      </w:r>
    </w:p>
    <w:p w:rsidR="001F2181" w:rsidRDefault="000D475C">
      <w:pPr>
        <w:pStyle w:val="BodyText"/>
        <w:spacing w:line="267" w:lineRule="exact"/>
        <w:ind w:left="1435"/>
      </w:pPr>
      <w:r>
        <w:t xml:space="preserve">Ovo rješenje je konačno i protiv njega se ne može izjaviti žalba.</w:t>
      </w:r>
    </w:p>
    <w:p w:rsidR="001F2181" w:rsidRDefault="001F2181">
      <w:pPr>
        <w:pStyle w:val="BodyText"/>
      </w:pPr>
    </w:p>
    <w:p w:rsidR="001F2181" w:rsidRDefault="006A2256">
      <w:pPr>
        <w:pStyle w:val="Heading2"/>
        <w:ind w:left="1041"/>
      </w:pPr>
      <w:r>
        <w:t xml:space="preserve">VIII.</w:t>
      </w:r>
    </w:p>
    <w:p w:rsidR="001F2181" w:rsidRDefault="000D475C">
      <w:pPr>
        <w:pStyle w:val="BodyText"/>
        <w:spacing w:before="1"/>
        <w:ind w:left="988" w:right="768" w:firstLine="446"/>
        <w:jc w:val="both"/>
      </w:pPr>
      <w:r>
        <w:t xml:space="preserve">Za izvršenje ovog rješenja zadužuje se Sektor za materijalno-financijske poslove Tajništva.</w:t>
      </w:r>
    </w:p>
    <w:p w:rsidR="001F2181" w:rsidRDefault="001F2181">
      <w:pPr>
        <w:pStyle w:val="BodyText"/>
      </w:pPr>
    </w:p>
    <w:p w:rsidR="001F2181" w:rsidRDefault="000D475C">
      <w:pPr>
        <w:pStyle w:val="BodyText"/>
        <w:ind w:left="988"/>
      </w:pPr>
      <w:r>
        <w:t xml:space="preserve">Rješenje dostaviti:</w:t>
      </w:r>
    </w:p>
    <w:p w:rsidR="001F2181" w:rsidRDefault="006A2256">
      <w:pPr>
        <w:pStyle w:val="BodyText"/>
        <w:tabs>
          <w:tab w:val="left" w:pos="1166"/>
        </w:tabs>
        <w:spacing w:before="1"/>
        <w:ind w:left="1161" w:right="5896" w:hanging="360"/>
      </w:pPr>
      <w:r>
        <w:t xml:space="preserve">- Sektoru za materijalno–financijske poslove Tajništva</w:t>
      </w:r>
    </w:p>
    <w:p w:rsidR="001F2181" w:rsidRDefault="001F2181">
      <w:pPr>
        <w:pStyle w:val="BodyText"/>
        <w:spacing w:before="10"/>
        <w:rPr>
          <w:sz w:val="21"/>
        </w:rPr>
      </w:pPr>
    </w:p>
    <w:p w:rsidR="001F2181" w:rsidRDefault="006A2256">
      <w:pPr>
        <w:pStyle w:val="Heading1"/>
        <w:ind w:left="7891" w:right="1263"/>
      </w:pPr>
      <w:r>
        <w:t xml:space="preserve">POKRAJINSKI TAJNIK</w:t>
      </w:r>
    </w:p>
    <w:p w:rsidR="001F2181" w:rsidRDefault="006A2256">
      <w:pPr>
        <w:pStyle w:val="BodyText"/>
        <w:ind w:left="7860" w:right="1267" w:firstLine="43"/>
      </w:pPr>
      <w:r>
        <w:t xml:space="preserve">Róbert Ótott</w:t>
      </w:r>
    </w:p>
    <w:p w:rsidR="001F2181" w:rsidRDefault="001F2181">
      <w:pPr>
        <w:pStyle w:val="BodyText"/>
        <w:rPr>
          <w:sz w:val="20"/>
        </w:rPr>
      </w:pPr>
    </w:p>
    <w:p w:rsidR="001F2181" w:rsidRDefault="001F2181">
      <w:pPr>
        <w:pStyle w:val="BodyText"/>
        <w:rPr>
          <w:sz w:val="20"/>
        </w:rPr>
      </w:pPr>
    </w:p>
    <w:p w:rsidR="001F2181" w:rsidRDefault="006A2256">
      <w:pPr>
        <w:pStyle w:val="BodyText"/>
        <w:spacing w:before="11"/>
        <w:rPr>
          <w:sz w:val="23"/>
        </w:rPr>
      </w:pPr>
      <w:r>
        <w:pict>
          <v:group id="_x0000_s1026" style="position:absolute;margin-left:346.95pt;margin-top:16.6pt;width:161.65pt;height:75.4pt;z-index:-251657728;mso-wrap-distance-left:0;mso-wrap-distance-right:0;mso-position-horizontal-relative:page" coordorigin="6939,332" coordsize="3233,15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025;top:780;width:861;height:464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939;top:333;width:3230;height:1506" filled="f" strokeweight=".05008mm">
              <v:textbox inset="0,0,0,0">
                <w:txbxContent>
                  <w:p w:rsidR="001F2181" w:rsidRDefault="006A2256">
                    <w:pPr>
                      <w:spacing w:before="6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Republika Srbija</w:t>
                    </w:r>
                  </w:p>
                  <w:p w:rsidR="001F2181" w:rsidRDefault="006A2256">
                    <w:pPr>
                      <w:spacing w:before="10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Autonomna Pokrajina Vojvodina</w:t>
                    </w:r>
                  </w:p>
                  <w:p w:rsidR="001F2181" w:rsidRDefault="006A2256">
                    <w:pPr>
                      <w:spacing w:before="8" w:line="283" w:lineRule="auto"/>
                      <w:ind w:left="1053" w:right="7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Pokrajinsko tajništvo za obrazovanje, propise, upravu i nacionalne manjine - nacionalne zajednice Novi Sad</w:t>
                    </w:r>
                  </w:p>
                  <w:p w:rsidR="001F2181" w:rsidRDefault="006A2256">
                    <w:pPr>
                      <w:spacing w:before="1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before="9" w:line="283" w:lineRule="auto"/>
                      <w:ind w:left="1053" w:right="9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line="49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-Autonomna Pokrajina Vojvodina</w:t>
                    </w:r>
                  </w:p>
                  <w:p w:rsidR="001F2181" w:rsidRDefault="006A2256">
                    <w:pPr>
                      <w:spacing w:before="9" w:line="285" w:lineRule="auto"/>
                      <w:ind w:left="1053" w:right="-2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line="48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Republika Srbija</w:t>
                    </w:r>
                  </w:p>
                  <w:p w:rsidR="001F2181" w:rsidRDefault="006A2256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Autonomna Pokrajina Vojvodina</w:t>
                    </w:r>
                  </w:p>
                  <w:p w:rsidR="001F2181" w:rsidRDefault="006A2256">
                    <w:pPr>
                      <w:spacing w:before="9" w:line="283" w:lineRule="auto"/>
                      <w:ind w:left="1053" w:right="200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Pokrajinsko tajništvo za obrazovanje, propise, upravu i nacionalne manjine – nacionalne zajednice Novi Sad</w:t>
                    </w:r>
                  </w:p>
                  <w:p w:rsidR="001F2181" w:rsidRDefault="006A2256">
                    <w:pPr>
                      <w:spacing w:line="49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before="10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before="8" w:line="285" w:lineRule="auto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line="48" w:lineRule="exact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Novi Sad</w:t>
                    </w:r>
                  </w:p>
                  <w:p w:rsidR="001F2181" w:rsidRDefault="006A2256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before="9"/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</w:t>
                    </w:r>
                  </w:p>
                  <w:p w:rsidR="001F2181" w:rsidRDefault="006A2256">
                    <w:pPr>
                      <w:spacing w:before="9" w:line="283" w:lineRule="auto"/>
                      <w:ind w:left="1053" w:right="9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-POKRAJINSKO TAJNIŠTVO ZA OBRAZOVANJE, PROPISE, UPRAVU I NACIONALNE MANJINE- NACIONALNE ZAJEDNICE</w:t>
                    </w:r>
                  </w:p>
                  <w:p w:rsidR="001F2181" w:rsidRDefault="006A2256">
                    <w:pPr>
                      <w:ind w:left="1053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 xml:space="preserve">Novi Sad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2181" w:rsidRDefault="001F2181">
      <w:pPr>
        <w:rPr>
          <w:sz w:val="23"/>
        </w:rPr>
        <w:sectPr w:rsidR="001F2181">
          <w:pgSz w:w="12240" w:h="15840"/>
          <w:pgMar w:top="660" w:right="920" w:bottom="280" w:left="900" w:header="720" w:footer="720" w:gutter="0"/>
          <w:cols w:space="720"/>
        </w:sectPr>
      </w:pPr>
    </w:p>
    <w:p w:rsidR="001F2181" w:rsidRDefault="000D475C">
      <w:pPr>
        <w:spacing w:before="60"/>
        <w:ind w:left="813" w:right="823"/>
        <w:jc w:val="center"/>
        <w:rPr>
          <w:sz w:val="20"/>
          <w:rFonts w:ascii="Times New Roman" w:hAnsi="Times New Roman"/>
        </w:rPr>
      </w:pPr>
      <w:r>
        <w:rPr>
          <w:sz w:val="20"/>
          <w:rFonts w:ascii="Times New Roman" w:hAnsi="Times New Roman"/>
        </w:rPr>
        <w:t xml:space="preserve">TABLICA BR.</w:t>
      </w:r>
      <w:r>
        <w:rPr>
          <w:sz w:val="20"/>
          <w:rFonts w:ascii="Times New Roman" w:hAnsi="Times New Roman"/>
        </w:rPr>
        <w:t xml:space="preserve"> </w:t>
      </w:r>
      <w:r>
        <w:rPr>
          <w:sz w:val="20"/>
          <w:rFonts w:ascii="Times New Roman" w:hAnsi="Times New Roman"/>
        </w:rPr>
        <w:t xml:space="preserve">2:</w:t>
      </w:r>
    </w:p>
    <w:p w:rsidR="001F2181" w:rsidRDefault="000D475C">
      <w:pPr>
        <w:spacing w:before="32" w:line="273" w:lineRule="auto"/>
        <w:ind w:left="340" w:right="392"/>
        <w:jc w:val="center"/>
        <w:rPr>
          <w:sz w:val="20"/>
          <w:rFonts w:ascii="Times New Roman" w:hAnsi="Times New Roman"/>
        </w:rPr>
      </w:pPr>
      <w:r>
        <w:rPr>
          <w:sz w:val="20"/>
          <w:rFonts w:ascii="Times New Roman" w:hAnsi="Times New Roman"/>
        </w:rPr>
        <w:t xml:space="preserve">RASPODJELA SREDSTAVA ZA FINANCIRANJE I SUFINANCIRANJE IZRADE TEHNIČKE DOKUMENTACIJE ZA POTREBE USTANOVA SREDNJEG OBRAZOVANJA I ODGOJA NA TERITORIJU AUTONOMNE POKRAJINE VOJVODINE ZA 2025.</w:t>
      </w:r>
      <w:r>
        <w:rPr>
          <w:sz w:val="20"/>
          <w:rFonts w:ascii="Times New Roman" w:hAnsi="Times New Roman"/>
        </w:rPr>
        <w:t xml:space="preserve"> </w:t>
      </w:r>
      <w:r>
        <w:rPr>
          <w:sz w:val="20"/>
          <w:rFonts w:ascii="Times New Roman" w:hAnsi="Times New Roman"/>
        </w:rPr>
        <w:t xml:space="preserve">GODINU</w:t>
      </w:r>
    </w:p>
    <w:p w:rsidR="001F2181" w:rsidRDefault="001F2181"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639"/>
        <w:gridCol w:w="1320"/>
        <w:gridCol w:w="1320"/>
        <w:gridCol w:w="3046"/>
        <w:gridCol w:w="1524"/>
      </w:tblGrid>
      <w:tr w:rsidR="001F2181">
        <w:trPr>
          <w:trHeight w:val="1037"/>
        </w:trPr>
        <w:tc>
          <w:tcPr>
            <w:tcW w:w="10169" w:type="dxa"/>
            <w:gridSpan w:val="6"/>
            <w:tcBorders>
              <w:top w:val="nil"/>
              <w:left w:val="nil"/>
              <w:right w:val="nil"/>
            </w:tcBorders>
            <w:shd w:val="clear" w:color="auto" w:fill="13647E"/>
          </w:tcPr>
          <w:p w:rsidR="001F2181" w:rsidRDefault="000D475C">
            <w:pPr>
              <w:pStyle w:val="TableParagraph"/>
              <w:spacing w:before="172" w:line="273" w:lineRule="auto"/>
              <w:ind w:left="64" w:right="58" w:firstLine="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NATJEČAJ ZA FINANCIRANJE I SUFINANCIRANJE IZRADE TEHNIČKE DOKUMENTACIJE ZA POTREBE USTANOVA OSNOVNOG, SREDNJEG OBRAZOVANJA I ODGOJA I PREDŠKOLSKIH USTANOVA NA TERITORIJU AUTONOMNE POKRAJINE VOJVODINE ZA 2025.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GODINU</w:t>
            </w:r>
          </w:p>
        </w:tc>
      </w:tr>
      <w:tr w:rsidR="001F2181">
        <w:trPr>
          <w:trHeight w:val="1180"/>
        </w:trPr>
        <w:tc>
          <w:tcPr>
            <w:tcW w:w="1320" w:type="dxa"/>
            <w:shd w:val="clear" w:color="auto" w:fill="13647E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9"/>
              <w:rPr>
                <w:sz w:val="21"/>
              </w:rPr>
            </w:pPr>
          </w:p>
          <w:p w:rsidR="001F2181" w:rsidRDefault="000D475C">
            <w:pPr>
              <w:pStyle w:val="TableParagraph"/>
              <w:ind w:left="283" w:right="25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redni br.</w:t>
            </w:r>
          </w:p>
        </w:tc>
        <w:tc>
          <w:tcPr>
            <w:tcW w:w="1639" w:type="dxa"/>
            <w:shd w:val="clear" w:color="auto" w:fill="13647E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35" w:line="273" w:lineRule="auto"/>
              <w:ind w:left="515" w:hanging="428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Naziv podnositelja prijave</w:t>
            </w:r>
          </w:p>
        </w:tc>
        <w:tc>
          <w:tcPr>
            <w:tcW w:w="1320" w:type="dxa"/>
            <w:shd w:val="clear" w:color="auto" w:fill="13647E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</w:pPr>
          </w:p>
          <w:p w:rsidR="001F2181" w:rsidRDefault="000D475C">
            <w:pPr>
              <w:pStyle w:val="TableParagraph"/>
              <w:ind w:left="302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Općina</w:t>
            </w:r>
          </w:p>
        </w:tc>
        <w:tc>
          <w:tcPr>
            <w:tcW w:w="1320" w:type="dxa"/>
            <w:shd w:val="clear" w:color="auto" w:fill="13647E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</w:pPr>
          </w:p>
          <w:p w:rsidR="001F2181" w:rsidRDefault="000D475C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Mjesto</w:t>
            </w:r>
          </w:p>
        </w:tc>
        <w:tc>
          <w:tcPr>
            <w:tcW w:w="3046" w:type="dxa"/>
            <w:shd w:val="clear" w:color="auto" w:fill="13647E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</w:pPr>
          </w:p>
          <w:p w:rsidR="001F2181" w:rsidRDefault="000D475C">
            <w:pPr>
              <w:pStyle w:val="TableParagraph"/>
              <w:ind w:left="332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Namjena dodijeljenih sredstava</w:t>
            </w:r>
          </w:p>
        </w:tc>
        <w:tc>
          <w:tcPr>
            <w:tcW w:w="1524" w:type="dxa"/>
            <w:shd w:val="clear" w:color="auto" w:fill="13647E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35" w:line="273" w:lineRule="auto"/>
              <w:ind w:left="373" w:hanging="320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Iznos dodijeljenih sredstava</w:t>
            </w:r>
          </w:p>
        </w:tc>
      </w:tr>
      <w:tr w:rsidR="001F2181">
        <w:trPr>
          <w:trHeight w:val="2200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3"/>
              <w:rPr>
                <w:sz w:val="26"/>
              </w:rPr>
            </w:pPr>
          </w:p>
          <w:p w:rsidR="001F2181" w:rsidRDefault="006A2256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3"/>
              <w:rPr>
                <w:sz w:val="26"/>
              </w:rPr>
            </w:pPr>
          </w:p>
          <w:p w:rsidR="001F2181" w:rsidRDefault="000D475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 xml:space="preserve">Tehnička škola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3"/>
              <w:rPr>
                <w:sz w:val="26"/>
              </w:rPr>
            </w:pPr>
          </w:p>
          <w:p w:rsidR="001F2181" w:rsidRDefault="000D475C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 xml:space="preserve">Ada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3"/>
              <w:rPr>
                <w:sz w:val="26"/>
              </w:rPr>
            </w:pPr>
          </w:p>
          <w:p w:rsidR="001F2181" w:rsidRDefault="000D475C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 xml:space="preserve">Ada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168" w:line="273" w:lineRule="auto"/>
              <w:ind w:left="30" w:right="43"/>
              <w:rPr>
                <w:sz w:val="18"/>
              </w:rPr>
            </w:pPr>
            <w:r>
              <w:rPr>
                <w:sz w:val="18"/>
              </w:rPr>
              <w:t xml:space="preserve">za financiranje izrade tehničke dokumentacije za: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Investicijska održavanje dijela  zgrade  br.4 (pomoćni objekt), za izgradnju hidrantske mreže u dvorištu i u objektima s izgradnjom rezervoara i postrojenja za povišenje tlaka (IDR, PGD, PZI) i za adaptaciju pos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3"/>
              <w:rPr>
                <w:sz w:val="26"/>
              </w:rPr>
            </w:pPr>
          </w:p>
          <w:p w:rsidR="001F2181" w:rsidRDefault="006A225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2.148.000,00</w:t>
            </w:r>
          </w:p>
        </w:tc>
      </w:tr>
      <w:tr w:rsidR="001F2181">
        <w:trPr>
          <w:trHeight w:val="906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1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</w:p>
        </w:tc>
        <w:tc>
          <w:tcPr>
            <w:tcW w:w="1639" w:type="dxa"/>
            <w:shd w:val="clear" w:color="auto" w:fill="EBEBD1"/>
          </w:tcPr>
          <w:p w:rsidR="001F2181" w:rsidRDefault="000D475C">
            <w:pPr>
              <w:pStyle w:val="TableParagraph"/>
              <w:spacing w:line="273" w:lineRule="auto"/>
              <w:ind w:left="30" w:right="31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Poljoprivredna škola s domom učenika Bačka</w:t>
            </w:r>
          </w:p>
          <w:p w:rsidR="001F2181" w:rsidRDefault="000D475C">
            <w:pPr>
              <w:pStyle w:val="TableParagraph"/>
              <w:spacing w:line="185" w:lineRule="exact"/>
              <w:ind w:left="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Topola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16"/>
              <w:ind w:left="30"/>
              <w:rPr>
                <w:sz w:val="18"/>
              </w:rPr>
            </w:pPr>
            <w:r>
              <w:rPr>
                <w:sz w:val="18"/>
              </w:rPr>
              <w:t xml:space="preserve">Bačka Topola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16"/>
              <w:ind w:left="30"/>
              <w:rPr>
                <w:sz w:val="18"/>
              </w:rPr>
            </w:pPr>
            <w:r>
              <w:rPr>
                <w:sz w:val="18"/>
              </w:rPr>
              <w:t xml:space="preserve">Bačka Topola</w:t>
            </w:r>
          </w:p>
        </w:tc>
        <w:tc>
          <w:tcPr>
            <w:tcW w:w="3046" w:type="dxa"/>
            <w:shd w:val="clear" w:color="auto" w:fill="EBEBD1"/>
          </w:tcPr>
          <w:p w:rsidR="001F2181" w:rsidRDefault="001F2181">
            <w:pPr>
              <w:pStyle w:val="TableParagraph"/>
              <w:spacing w:before="10"/>
              <w:rPr>
                <w:sz w:val="19"/>
              </w:rPr>
            </w:pPr>
          </w:p>
          <w:p w:rsidR="001F2181" w:rsidRDefault="000D475C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za finansiranje idejnog projekta energetske sanacije objekta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16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816.000,00</w:t>
            </w:r>
          </w:p>
        </w:tc>
      </w:tr>
      <w:tr w:rsidR="001F2181">
        <w:trPr>
          <w:trHeight w:val="1391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2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spacing w:before="5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Poljoprivredna škola s učeničkim domom Bačka Topola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28"/>
              <w:ind w:left="30"/>
              <w:rPr>
                <w:sz w:val="18"/>
              </w:rPr>
            </w:pPr>
            <w:r>
              <w:rPr>
                <w:sz w:val="18"/>
              </w:rPr>
              <w:t xml:space="preserve">Bačka Topola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28"/>
              <w:ind w:left="30"/>
              <w:rPr>
                <w:sz w:val="18"/>
              </w:rPr>
            </w:pPr>
            <w:r>
              <w:rPr>
                <w:sz w:val="18"/>
              </w:rPr>
              <w:t xml:space="preserve">Bačka Topola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118" w:line="273" w:lineRule="auto"/>
              <w:ind w:left="30" w:right="168"/>
              <w:rPr>
                <w:sz w:val="18"/>
              </w:rPr>
            </w:pPr>
            <w:r>
              <w:rPr>
                <w:sz w:val="18"/>
              </w:rPr>
              <w:t xml:space="preserve">za sufinanciranje izrade tehničke dokumentacije za potrebe sanacije objekta doma učenika Poljoprivredne škole u Bačkoj Topoli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28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162.500,00</w:t>
            </w:r>
          </w:p>
        </w:tc>
      </w:tr>
      <w:tr w:rsidR="001F2181">
        <w:trPr>
          <w:trHeight w:val="1720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6A2256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74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Tehnička škola "Sava Munćan"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0D475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 xml:space="preserve">Bela Crkva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0D475C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 xml:space="preserve">Bela Crkva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46" w:line="273" w:lineRule="auto"/>
              <w:ind w:left="30" w:right="19"/>
              <w:rPr>
                <w:sz w:val="18"/>
              </w:rPr>
            </w:pPr>
            <w:r>
              <w:rPr>
                <w:sz w:val="18"/>
              </w:rPr>
              <w:t xml:space="preserve">za financiranje izrade tehničke dokumentacije za adaptaciju i ugradnju unutarnje plinske instalacije s plinskim  kontejnerskom kotlarnicom za objekte škole s energetskom sanacijom (zamjena bravarije)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6A225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1.182.300,00</w:t>
            </w:r>
          </w:p>
        </w:tc>
      </w:tr>
      <w:tr w:rsidR="001F2181">
        <w:trPr>
          <w:trHeight w:val="856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spacing w:before="9"/>
              <w:rPr>
                <w:sz w:val="27"/>
              </w:rPr>
            </w:pPr>
          </w:p>
          <w:p w:rsidR="001F2181" w:rsidRDefault="006A2256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</w:p>
        </w:tc>
        <w:tc>
          <w:tcPr>
            <w:tcW w:w="1639" w:type="dxa"/>
            <w:shd w:val="clear" w:color="auto" w:fill="EBEBD1"/>
          </w:tcPr>
          <w:p w:rsidR="001F2181" w:rsidRDefault="000D475C">
            <w:pPr>
              <w:pStyle w:val="TableParagraph"/>
              <w:spacing w:before="84" w:line="273" w:lineRule="auto"/>
              <w:ind w:left="30" w:right="233"/>
              <w:rPr>
                <w:sz w:val="18"/>
              </w:rPr>
            </w:pPr>
            <w:r>
              <w:rPr>
                <w:sz w:val="18"/>
              </w:rPr>
              <w:t xml:space="preserve">Belocrkvanska gimnazija i ekonomska škola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spacing w:before="9"/>
              <w:rPr>
                <w:sz w:val="27"/>
              </w:rPr>
            </w:pPr>
          </w:p>
          <w:p w:rsidR="001F2181" w:rsidRDefault="000D475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 xml:space="preserve">Bela Crkva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spacing w:before="9"/>
              <w:rPr>
                <w:sz w:val="27"/>
              </w:rPr>
            </w:pPr>
          </w:p>
          <w:p w:rsidR="001F2181" w:rsidRDefault="000D475C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 xml:space="preserve">Bela Crkva</w:t>
            </w:r>
          </w:p>
        </w:tc>
        <w:tc>
          <w:tcPr>
            <w:tcW w:w="3046" w:type="dxa"/>
            <w:shd w:val="clear" w:color="auto" w:fill="EBEBD1"/>
          </w:tcPr>
          <w:p w:rsidR="001F2181" w:rsidRDefault="001F2181">
            <w:pPr>
              <w:pStyle w:val="TableParagraph"/>
              <w:spacing w:before="6"/>
              <w:rPr>
                <w:sz w:val="17"/>
              </w:rPr>
            </w:pPr>
          </w:p>
          <w:p w:rsidR="001F2181" w:rsidRDefault="000D475C">
            <w:pPr>
              <w:pStyle w:val="TableParagraph"/>
              <w:spacing w:before="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za finansiranje izrade idejnog projekta energetske sanacije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spacing w:before="9"/>
              <w:rPr>
                <w:sz w:val="27"/>
              </w:rPr>
            </w:pPr>
          </w:p>
          <w:p w:rsidR="001F2181" w:rsidRDefault="006A225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532.900,00</w:t>
            </w:r>
          </w:p>
        </w:tc>
      </w:tr>
      <w:tr w:rsidR="001F2181">
        <w:trPr>
          <w:trHeight w:val="1720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6A2256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74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Poljoprivredna škola "Vršac"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0D475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 xml:space="preserve">Vršac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0D475C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 xml:space="preserve">Vršac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46" w:line="273" w:lineRule="auto"/>
              <w:ind w:left="30" w:right="43"/>
              <w:rPr>
                <w:sz w:val="18"/>
              </w:rPr>
            </w:pPr>
            <w:r>
              <w:rPr>
                <w:sz w:val="18"/>
              </w:rPr>
              <w:t xml:space="preserve">za sufinanciranje izrade projektno- tehničke dokumentacije, a koja obuhvaća sanaciju pomoćne zgrade (stara mljekara), rekonstrukciju pomoćne zgrade za uzgoj koka i rekonstrukciju pomoćne zgrade za uzgoj goveda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6A225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679.900,00</w:t>
            </w:r>
          </w:p>
        </w:tc>
      </w:tr>
    </w:tbl>
    <w:p w:rsidR="001F2181" w:rsidRDefault="001F2181">
      <w:pPr>
        <w:jc w:val="right"/>
        <w:rPr>
          <w:sz w:val="18"/>
        </w:rPr>
        <w:sectPr w:rsidR="001F2181">
          <w:pgSz w:w="12240" w:h="15840"/>
          <w:pgMar w:top="1260" w:right="92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639"/>
        <w:gridCol w:w="1320"/>
        <w:gridCol w:w="1320"/>
        <w:gridCol w:w="3046"/>
        <w:gridCol w:w="1524"/>
      </w:tblGrid>
      <w:tr w:rsidR="001F2181">
        <w:trPr>
          <w:trHeight w:val="1287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7"/>
              <w:rPr>
                <w:sz w:val="26"/>
              </w:rPr>
            </w:pPr>
          </w:p>
          <w:p w:rsidR="001F2181" w:rsidRDefault="006A2256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7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16"/>
              </w:rPr>
            </w:pPr>
          </w:p>
          <w:p w:rsidR="001F2181" w:rsidRDefault="000D475C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Školski centar "Nikola Tesla"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7"/>
              <w:rPr>
                <w:sz w:val="26"/>
              </w:rPr>
            </w:pPr>
          </w:p>
          <w:p w:rsidR="001F2181" w:rsidRDefault="000D475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 xml:space="preserve">Vršac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7"/>
              <w:rPr>
                <w:sz w:val="26"/>
              </w:rPr>
            </w:pPr>
          </w:p>
          <w:p w:rsidR="001F2181" w:rsidRDefault="000D475C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 xml:space="preserve">Vršac</w:t>
            </w:r>
          </w:p>
        </w:tc>
        <w:tc>
          <w:tcPr>
            <w:tcW w:w="3046" w:type="dxa"/>
            <w:shd w:val="clear" w:color="auto" w:fill="EBEBD1"/>
          </w:tcPr>
          <w:p w:rsidR="001F2181" w:rsidRDefault="001F2181">
            <w:pPr>
              <w:pStyle w:val="TableParagraph"/>
              <w:spacing w:before="10"/>
              <w:rPr>
                <w:sz w:val="15"/>
              </w:rPr>
            </w:pPr>
          </w:p>
          <w:p w:rsidR="001F2181" w:rsidRDefault="000D475C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za financiranje izrade projektno- tehničke dokumentacije za zamjenu postojeće rasvjete novom "LED" rasvjetom (IDP i PZI)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7"/>
              <w:rPr>
                <w:sz w:val="26"/>
              </w:rPr>
            </w:pPr>
          </w:p>
          <w:p w:rsidR="001F2181" w:rsidRDefault="006A225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750.000,00</w:t>
            </w:r>
          </w:p>
        </w:tc>
      </w:tr>
      <w:tr w:rsidR="001F2181">
        <w:trPr>
          <w:trHeight w:val="1026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spacing w:before="1"/>
              <w:rPr>
                <w:sz w:val="25"/>
              </w:rPr>
            </w:pPr>
          </w:p>
          <w:p w:rsidR="001F2181" w:rsidRDefault="000D475C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Kemijsko-medicinska škola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 xml:space="preserve">Vršac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76"/>
              <w:ind w:left="31"/>
              <w:rPr>
                <w:sz w:val="18"/>
              </w:rPr>
            </w:pPr>
            <w:r>
              <w:rPr>
                <w:sz w:val="18"/>
              </w:rPr>
              <w:t xml:space="preserve">Vršac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17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za financiranje izrade tehničke dokumentacije rekonstrukcije unutarnje rasvjete (IDP)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76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450.900,00</w:t>
            </w:r>
          </w:p>
        </w:tc>
      </w:tr>
      <w:tr w:rsidR="001F2181">
        <w:trPr>
          <w:trHeight w:val="1719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6A2256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9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74" w:line="273" w:lineRule="auto"/>
              <w:ind w:left="30" w:right="211"/>
              <w:rPr>
                <w:sz w:val="18"/>
              </w:rPr>
            </w:pPr>
            <w:r>
              <w:rPr>
                <w:sz w:val="18"/>
              </w:rPr>
              <w:t xml:space="preserve">Tehnička škola "Mihajlo Pupin"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0D475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 xml:space="preserve">Kikinda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0D475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 xml:space="preserve">Kikinda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46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za financiranje izrade tehničke dokumentacije za rekonstrukciju i dogradnju krovne konstrukcije iznad pomoćnih prostorija uz dvoranu za tjelesno, i idejnog projekta adaptacije pomoćnih prostorija uz dvoranu za tjelesno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4"/>
              <w:rPr>
                <w:sz w:val="25"/>
              </w:rPr>
            </w:pPr>
          </w:p>
          <w:p w:rsidR="001F2181" w:rsidRDefault="006A225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800.000,00</w:t>
            </w:r>
          </w:p>
        </w:tc>
      </w:tr>
      <w:tr w:rsidR="001F2181">
        <w:trPr>
          <w:trHeight w:val="1026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76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</w:p>
        </w:tc>
        <w:tc>
          <w:tcPr>
            <w:tcW w:w="1639" w:type="dxa"/>
            <w:shd w:val="clear" w:color="auto" w:fill="EBEBD1"/>
          </w:tcPr>
          <w:p w:rsidR="001F2181" w:rsidRDefault="000D475C">
            <w:pPr>
              <w:pStyle w:val="TableParagraph"/>
              <w:spacing w:before="17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Srednja stručna škola „Miloš Crnjanski“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 xml:space="preserve">Kikinda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 xml:space="preserve">Kikinda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53" w:line="273" w:lineRule="auto"/>
              <w:ind w:left="30" w:right="168"/>
              <w:rPr>
                <w:sz w:val="18"/>
              </w:rPr>
            </w:pPr>
            <w:r>
              <w:rPr>
                <w:sz w:val="18"/>
              </w:rPr>
              <w:t xml:space="preserve">za financiranje izrade projektno tehničke dokumentacije za gromobransku instalaciju s uređajem za rano startanje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7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85.000,00</w:t>
            </w:r>
          </w:p>
        </w:tc>
      </w:tr>
      <w:tr w:rsidR="001F2181">
        <w:trPr>
          <w:trHeight w:val="1026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76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spacing w:before="1"/>
              <w:rPr>
                <w:sz w:val="25"/>
              </w:rPr>
            </w:pPr>
          </w:p>
          <w:p w:rsidR="001F2181" w:rsidRDefault="000D475C">
            <w:pPr>
              <w:pStyle w:val="TableParagraph"/>
              <w:spacing w:line="273" w:lineRule="auto"/>
              <w:ind w:left="30" w:right="6"/>
              <w:rPr>
                <w:sz w:val="18"/>
              </w:rPr>
            </w:pPr>
            <w:r>
              <w:rPr>
                <w:sz w:val="18"/>
              </w:rPr>
              <w:t xml:space="preserve">Gimnazija „Mihajlo Pupin”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 xml:space="preserve">Kovačica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76"/>
              <w:ind w:left="30"/>
              <w:rPr>
                <w:sz w:val="18"/>
              </w:rPr>
            </w:pPr>
            <w:r>
              <w:rPr>
                <w:sz w:val="18"/>
              </w:rPr>
              <w:t xml:space="preserve">Kovačica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171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za financiranje izrade idejnog projekta sanacije i energetske sanacije objekta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76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90.000,00</w:t>
            </w:r>
          </w:p>
        </w:tc>
      </w:tr>
      <w:tr w:rsidR="001F2181">
        <w:trPr>
          <w:trHeight w:val="1374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19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1"/>
              <w:rPr>
                <w:sz w:val="20"/>
              </w:rPr>
            </w:pPr>
          </w:p>
          <w:p w:rsidR="001F2181" w:rsidRDefault="000D475C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Strojarska škola Pančevo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19"/>
              <w:ind w:left="30"/>
              <w:rPr>
                <w:sz w:val="18"/>
              </w:rPr>
            </w:pPr>
            <w:r>
              <w:rPr>
                <w:sz w:val="18"/>
              </w:rPr>
              <w:t xml:space="preserve">Pančevo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19"/>
              <w:ind w:left="30"/>
              <w:rPr>
                <w:sz w:val="18"/>
              </w:rPr>
            </w:pPr>
            <w:r>
              <w:rPr>
                <w:sz w:val="18"/>
              </w:rPr>
              <w:t xml:space="preserve">Pančevo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108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za sufinanciranje izrade idejnog projekta - niskonaponski priključni kablovski vodovi za objekt Trening centra - školske radionice u sklopu Strojarske  škole "Pančevo"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364.800,00</w:t>
            </w:r>
          </w:p>
        </w:tc>
      </w:tr>
      <w:tr w:rsidR="001F2181">
        <w:trPr>
          <w:trHeight w:val="1374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19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spacing w:before="10"/>
              <w:rPr>
                <w:sz w:val="29"/>
              </w:rPr>
            </w:pPr>
          </w:p>
          <w:p w:rsidR="001F2181" w:rsidRDefault="000D475C">
            <w:pPr>
              <w:pStyle w:val="TableParagraph"/>
              <w:spacing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Tehnička škola „Milenko Verkić Neša“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19"/>
              <w:ind w:left="30"/>
              <w:rPr>
                <w:sz w:val="18"/>
              </w:rPr>
            </w:pPr>
            <w:r>
              <w:rPr>
                <w:sz w:val="18"/>
              </w:rPr>
              <w:t xml:space="preserve">Pećinci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0D475C">
            <w:pPr>
              <w:pStyle w:val="TableParagraph"/>
              <w:spacing w:before="119"/>
              <w:ind w:left="30"/>
              <w:rPr>
                <w:sz w:val="18"/>
              </w:rPr>
            </w:pPr>
            <w:r>
              <w:rPr>
                <w:sz w:val="18"/>
              </w:rPr>
              <w:t xml:space="preserve">Pećinci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108" w:line="273" w:lineRule="auto"/>
              <w:ind w:left="30"/>
              <w:rPr>
                <w:sz w:val="18"/>
              </w:rPr>
            </w:pPr>
            <w:r>
              <w:rPr>
                <w:sz w:val="18"/>
              </w:rPr>
              <w:t xml:space="preserve">za financiranje tehničke dokumentacije za rekonstrukciju postojećeg objekta srednje škole u Pećincima s energetskom sanacijom objekta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6A2256">
            <w:pPr>
              <w:pStyle w:val="TableParagraph"/>
              <w:spacing w:before="11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660.000,00</w:t>
            </w:r>
          </w:p>
        </w:tc>
      </w:tr>
      <w:tr w:rsidR="001F2181">
        <w:trPr>
          <w:trHeight w:val="1288"/>
        </w:trPr>
        <w:tc>
          <w:tcPr>
            <w:tcW w:w="1320" w:type="dxa"/>
            <w:shd w:val="clear" w:color="auto" w:fill="FFD1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7"/>
              <w:rPr>
                <w:sz w:val="26"/>
              </w:rPr>
            </w:pPr>
          </w:p>
          <w:p w:rsidR="001F2181" w:rsidRDefault="006A2256">
            <w:pPr>
              <w:pStyle w:val="TableParagraph"/>
              <w:ind w:left="269" w:right="2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</w:t>
            </w:r>
          </w:p>
        </w:tc>
        <w:tc>
          <w:tcPr>
            <w:tcW w:w="1639" w:type="dxa"/>
            <w:shd w:val="clear" w:color="auto" w:fill="EBEBD1"/>
          </w:tcPr>
          <w:p w:rsidR="001F2181" w:rsidRDefault="001F2181">
            <w:pPr>
              <w:pStyle w:val="TableParagraph"/>
              <w:spacing w:before="10"/>
              <w:rPr>
                <w:sz w:val="15"/>
              </w:rPr>
            </w:pPr>
          </w:p>
          <w:p w:rsidR="001F2181" w:rsidRDefault="000D475C">
            <w:pPr>
              <w:pStyle w:val="TableParagraph"/>
              <w:spacing w:line="273" w:lineRule="auto"/>
              <w:ind w:left="30" w:right="31"/>
              <w:rPr>
                <w:sz w:val="18"/>
              </w:rPr>
            </w:pPr>
            <w:r>
              <w:rPr>
                <w:sz w:val="18"/>
              </w:rPr>
              <w:t xml:space="preserve">Gimnazija s učeničkim domom za talentirane učenike „Bolyai“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7"/>
              <w:rPr>
                <w:sz w:val="26"/>
              </w:rPr>
            </w:pPr>
          </w:p>
          <w:p w:rsidR="001F2181" w:rsidRDefault="000D475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 xml:space="preserve">Senta</w:t>
            </w:r>
          </w:p>
        </w:tc>
        <w:tc>
          <w:tcPr>
            <w:tcW w:w="1320" w:type="dxa"/>
            <w:shd w:val="clear" w:color="auto" w:fill="EBEBD1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7"/>
              <w:rPr>
                <w:sz w:val="26"/>
              </w:rPr>
            </w:pPr>
          </w:p>
          <w:p w:rsidR="001F2181" w:rsidRDefault="000D475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 xml:space="preserve">Senta</w:t>
            </w:r>
          </w:p>
        </w:tc>
        <w:tc>
          <w:tcPr>
            <w:tcW w:w="3046" w:type="dxa"/>
            <w:shd w:val="clear" w:color="auto" w:fill="EBEBD1"/>
          </w:tcPr>
          <w:p w:rsidR="001F2181" w:rsidRDefault="000D475C">
            <w:pPr>
              <w:pStyle w:val="TableParagraph"/>
              <w:spacing w:before="65" w:line="273" w:lineRule="auto"/>
              <w:ind w:left="30" w:right="168"/>
              <w:rPr>
                <w:sz w:val="18"/>
              </w:rPr>
            </w:pPr>
            <w:r>
              <w:rPr>
                <w:sz w:val="18"/>
              </w:rPr>
              <w:t xml:space="preserve">za financiranje projektne dokumentacije za ozakonjenje objekata ( đačkog restorana s kuhinjom i objekta stvaralačkog kluba)</w:t>
            </w:r>
          </w:p>
        </w:tc>
        <w:tc>
          <w:tcPr>
            <w:tcW w:w="1524" w:type="dxa"/>
            <w:shd w:val="clear" w:color="auto" w:fill="AFFFD8"/>
          </w:tcPr>
          <w:p w:rsidR="001F2181" w:rsidRDefault="001F2181">
            <w:pPr>
              <w:pStyle w:val="TableParagraph"/>
              <w:rPr>
                <w:sz w:val="20"/>
              </w:rPr>
            </w:pPr>
          </w:p>
          <w:p w:rsidR="001F2181" w:rsidRDefault="001F2181">
            <w:pPr>
              <w:pStyle w:val="TableParagraph"/>
              <w:spacing w:before="7"/>
              <w:rPr>
                <w:sz w:val="26"/>
              </w:rPr>
            </w:pPr>
          </w:p>
          <w:p w:rsidR="001F2181" w:rsidRDefault="006A225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1.032.000,00</w:t>
            </w:r>
          </w:p>
        </w:tc>
      </w:tr>
      <w:tr w:rsidR="001F2181">
        <w:trPr>
          <w:trHeight w:val="683"/>
        </w:trPr>
        <w:tc>
          <w:tcPr>
            <w:tcW w:w="1320" w:type="dxa"/>
            <w:shd w:val="clear" w:color="auto" w:fill="BABABA"/>
          </w:tcPr>
          <w:p w:rsidR="001F2181" w:rsidRDefault="001F2181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  <w:shd w:val="clear" w:color="auto" w:fill="BABABA"/>
          </w:tcPr>
          <w:p w:rsidR="001F2181" w:rsidRDefault="001F2181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shd w:val="clear" w:color="auto" w:fill="BABABA"/>
          </w:tcPr>
          <w:p w:rsidR="001F2181" w:rsidRDefault="001F2181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shd w:val="clear" w:color="auto" w:fill="BABABA"/>
          </w:tcPr>
          <w:p w:rsidR="001F2181" w:rsidRDefault="001F2181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shd w:val="clear" w:color="auto" w:fill="BABABA"/>
          </w:tcPr>
          <w:p w:rsidR="001F2181" w:rsidRDefault="001F2181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shd w:val="clear" w:color="auto" w:fill="BABABA"/>
          </w:tcPr>
          <w:p w:rsidR="001F2181" w:rsidRDefault="001F2181">
            <w:pPr>
              <w:pStyle w:val="TableParagraph"/>
              <w:spacing w:before="3"/>
              <w:rPr>
                <w:sz w:val="20"/>
              </w:rPr>
            </w:pPr>
          </w:p>
          <w:p w:rsidR="001F2181" w:rsidRDefault="006A2256"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9.754.300,00</w:t>
            </w:r>
          </w:p>
        </w:tc>
      </w:tr>
    </w:tbl>
    <w:p w:rsidR="006A2256" w:rsidRDefault="006A2256"/>
    <w:sectPr w:rsidR="006A2256">
      <w:pgSz w:w="12240" w:h="15840"/>
      <w:pgMar w:top="108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56" w:rsidRDefault="006A2256" w:rsidP="000D475C">
      <w:r>
        <w:separator/>
      </w:r>
    </w:p>
  </w:endnote>
  <w:endnote w:type="continuationSeparator" w:id="0">
    <w:p w:rsidR="006A2256" w:rsidRDefault="006A2256" w:rsidP="000D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5C" w:rsidRDefault="000D4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5C" w:rsidRDefault="000D4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5C" w:rsidRDefault="000D4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56" w:rsidRDefault="006A2256" w:rsidP="000D475C">
      <w:r>
        <w:separator/>
      </w:r>
    </w:p>
  </w:footnote>
  <w:footnote w:type="continuationSeparator" w:id="0">
    <w:p w:rsidR="006A2256" w:rsidRDefault="006A2256" w:rsidP="000D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5C" w:rsidRDefault="000D4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5C" w:rsidRDefault="000D4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5C" w:rsidRDefault="000D4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2181"/>
    <w:rsid w:val="000D475C"/>
    <w:rsid w:val="001F2181"/>
    <w:rsid w:val="006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B028CB-0BE5-42CC-BA31-F840BA76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hr-HR" w:eastAsia="mk"/>
    </w:rPr>
  </w:style>
  <w:style w:type="paragraph" w:styleId="Heading1">
    <w:name w:val="heading 1"/>
    <w:basedOn w:val="Normal"/>
    <w:uiPriority w:val="1"/>
    <w:qFormat/>
    <w:pPr>
      <w:ind w:left="5160" w:hanging="24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43" w:right="82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D4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75C"/>
    <w:rPr>
      <w:rFonts w:ascii="Calibri" w:eastAsia="Calibri" w:hAnsi="Calibri" w:cs="Times New Roman"/>
      <w:lang w:val="hr-HR" w:eastAsia="mk"/>
    </w:rPr>
  </w:style>
  <w:style w:type="paragraph" w:styleId="Footer">
    <w:name w:val="footer"/>
    <w:basedOn w:val="Normal"/>
    <w:link w:val="FooterChar"/>
    <w:uiPriority w:val="99"/>
    <w:unhideWhenUsed/>
    <w:rsid w:val="000D4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75C"/>
    <w:rPr>
      <w:rFonts w:ascii="Calibri" w:eastAsia="Calibri" w:hAnsi="Calibri" w:cs="Times New Roman"/>
      <w:lang w:val="hr-HR" w:eastAsia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unz@vojvodin&#1072;.gov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Stojanka Josipović</cp:lastModifiedBy>
  <cp:revision>3</cp:revision>
  <dcterms:created xsi:type="dcterms:W3CDTF">2025-06-11T13:16:00Z</dcterms:created>
  <dcterms:modified xsi:type="dcterms:W3CDTF">2025-06-11T13:18:00Z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2025-06-11T00:00:00Z</vt:filetime>
  </property>
</Properties>
</file>