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2B" w:rsidRPr="00454656" w:rsidRDefault="00D4502B" w:rsidP="00D4502B">
      <w:pPr>
        <w:spacing w:after="0" w:line="240" w:lineRule="auto"/>
        <w:rPr>
          <w:rFonts w:eastAsia="Times New Roman" w:cstheme="minorHAnsi"/>
          <w:sz w:val="24"/>
          <w:szCs w:val="24"/>
          <w:lang w:val="sr-Cyrl-RS"/>
        </w:rPr>
      </w:pPr>
    </w:p>
    <w:tbl>
      <w:tblPr>
        <w:tblW w:w="10835" w:type="dxa"/>
        <w:tblInd w:w="108" w:type="dxa"/>
        <w:tblLayout w:type="fixed"/>
        <w:tblLook w:val="00A0" w:firstRow="1" w:lastRow="0" w:firstColumn="1" w:lastColumn="0" w:noHBand="0" w:noVBand="0"/>
      </w:tblPr>
      <w:tblGrid>
        <w:gridCol w:w="2552"/>
        <w:gridCol w:w="2835"/>
        <w:gridCol w:w="4820"/>
        <w:gridCol w:w="628"/>
      </w:tblGrid>
      <w:tr w:rsidR="001F3AF1" w:rsidRPr="00454656" w:rsidTr="004C3D0B">
        <w:trPr>
          <w:gridAfter w:val="1"/>
          <w:wAfter w:w="628" w:type="dxa"/>
          <w:trHeight w:val="1975"/>
        </w:trPr>
        <w:tc>
          <w:tcPr>
            <w:tcW w:w="2552" w:type="dxa"/>
          </w:tcPr>
          <w:p w:rsidR="00D4502B" w:rsidRPr="00454656" w:rsidRDefault="00D4502B" w:rsidP="00D4502B">
            <w:pPr>
              <w:tabs>
                <w:tab w:val="center" w:pos="4703"/>
                <w:tab w:val="right" w:pos="9406"/>
              </w:tabs>
              <w:spacing w:after="0" w:line="240" w:lineRule="auto"/>
              <w:ind w:left="-198" w:firstLine="108"/>
              <w:rPr>
                <w:rFonts w:eastAsia="Times New Roman" w:cstheme="minorHAnsi"/>
                <w:sz w:val="24"/>
                <w:szCs w:val="24"/>
              </w:rPr>
            </w:pPr>
            <w:r>
              <w:rPr>
                <w:noProof/>
                <w:sz w:val="24"/>
                <w:szCs w:val="24"/>
                <w:lang w:val="en-US"/>
              </w:rPr>
              <w:drawing>
                <wp:inline distT="0" distB="0" distL="0" distR="0" wp14:anchorId="4ED5B31E" wp14:editId="3769783B">
                  <wp:extent cx="1476375" cy="962025"/>
                  <wp:effectExtent l="0" t="0" r="0" b="0"/>
                  <wp:docPr id="1" name="Picture 4"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tc>
        <w:tc>
          <w:tcPr>
            <w:tcW w:w="7655" w:type="dxa"/>
            <w:gridSpan w:val="2"/>
          </w:tcPr>
          <w:p w:rsidR="00D4502B" w:rsidRPr="00454656" w:rsidRDefault="00D4502B" w:rsidP="00D4502B">
            <w:pPr>
              <w:tabs>
                <w:tab w:val="center" w:pos="4703"/>
                <w:tab w:val="right" w:pos="9406"/>
              </w:tabs>
              <w:spacing w:after="0" w:line="240" w:lineRule="auto"/>
              <w:rPr>
                <w:rFonts w:eastAsia="Times New Roman" w:cstheme="minorHAnsi"/>
                <w:sz w:val="24"/>
                <w:szCs w:val="24"/>
              </w:rPr>
            </w:pPr>
            <w:r>
              <w:rPr>
                <w:sz w:val="24"/>
                <w:szCs w:val="24"/>
              </w:rPr>
              <w:t>Republica Serbia</w:t>
            </w:r>
          </w:p>
          <w:p w:rsidR="00D4502B" w:rsidRPr="00454656" w:rsidRDefault="00D4502B" w:rsidP="00D4502B">
            <w:pPr>
              <w:spacing w:after="0" w:line="240" w:lineRule="auto"/>
              <w:rPr>
                <w:rFonts w:eastAsia="Times New Roman" w:cstheme="minorHAnsi"/>
                <w:sz w:val="24"/>
                <w:szCs w:val="24"/>
              </w:rPr>
            </w:pPr>
            <w:r>
              <w:rPr>
                <w:sz w:val="24"/>
                <w:szCs w:val="24"/>
              </w:rPr>
              <w:t>Provincia Autonomă Voivodina</w:t>
            </w:r>
          </w:p>
          <w:p w:rsidR="00D4502B" w:rsidRPr="00454656" w:rsidRDefault="00D4502B" w:rsidP="00D4502B">
            <w:pPr>
              <w:spacing w:after="0" w:line="240" w:lineRule="auto"/>
              <w:rPr>
                <w:rFonts w:eastAsia="Times New Roman" w:cstheme="minorHAnsi"/>
                <w:b/>
                <w:sz w:val="24"/>
                <w:szCs w:val="24"/>
              </w:rPr>
            </w:pPr>
            <w:r>
              <w:rPr>
                <w:b/>
                <w:sz w:val="24"/>
                <w:szCs w:val="24"/>
              </w:rPr>
              <w:t>Secretariatul Provincial pentru Educaţie, Reglementări,</w:t>
            </w:r>
          </w:p>
          <w:p w:rsidR="00D4502B" w:rsidRPr="00454656" w:rsidRDefault="00D4502B" w:rsidP="00D4502B">
            <w:pPr>
              <w:spacing w:after="0" w:line="240" w:lineRule="auto"/>
              <w:rPr>
                <w:rFonts w:eastAsia="Times New Roman" w:cstheme="minorHAnsi"/>
                <w:b/>
                <w:sz w:val="24"/>
                <w:szCs w:val="24"/>
              </w:rPr>
            </w:pPr>
            <w:r>
              <w:rPr>
                <w:b/>
                <w:sz w:val="24"/>
                <w:szCs w:val="24"/>
              </w:rPr>
              <w:t>Administraţie şi Minorităţile Naţionale - Comunităţile Naţionale</w:t>
            </w:r>
          </w:p>
          <w:p w:rsidR="00D4502B" w:rsidRPr="00454656" w:rsidRDefault="00D4502B" w:rsidP="00D4502B">
            <w:pPr>
              <w:tabs>
                <w:tab w:val="center" w:pos="4703"/>
                <w:tab w:val="right" w:pos="9406"/>
              </w:tabs>
              <w:spacing w:after="0" w:line="240" w:lineRule="auto"/>
              <w:rPr>
                <w:rFonts w:eastAsia="Times New Roman" w:cstheme="minorHAnsi"/>
                <w:sz w:val="24"/>
                <w:szCs w:val="24"/>
              </w:rPr>
            </w:pPr>
            <w:r>
              <w:rPr>
                <w:sz w:val="24"/>
                <w:szCs w:val="24"/>
              </w:rPr>
              <w:t>Bulevar Mihajla Pupina 16, 21000 Novi Sad</w:t>
            </w:r>
          </w:p>
          <w:p w:rsidR="00D4502B" w:rsidRPr="00454656" w:rsidRDefault="00D4502B" w:rsidP="00D4502B">
            <w:pPr>
              <w:tabs>
                <w:tab w:val="center" w:pos="4703"/>
                <w:tab w:val="right" w:pos="9406"/>
              </w:tabs>
              <w:spacing w:after="0" w:line="240" w:lineRule="auto"/>
              <w:rPr>
                <w:rFonts w:eastAsia="Times New Roman" w:cstheme="minorHAnsi"/>
                <w:sz w:val="24"/>
                <w:szCs w:val="24"/>
              </w:rPr>
            </w:pPr>
            <w:r>
              <w:rPr>
                <w:sz w:val="24"/>
                <w:szCs w:val="24"/>
              </w:rPr>
              <w:t>T: +381 21  487  40 35</w:t>
            </w:r>
          </w:p>
          <w:p w:rsidR="00D4502B" w:rsidRPr="00454656" w:rsidRDefault="00D4502B" w:rsidP="00D4502B">
            <w:pPr>
              <w:tabs>
                <w:tab w:val="center" w:pos="4703"/>
                <w:tab w:val="right" w:pos="9406"/>
              </w:tabs>
              <w:spacing w:after="0" w:line="240" w:lineRule="auto"/>
              <w:rPr>
                <w:rFonts w:eastAsia="Times New Roman" w:cstheme="minorHAnsi"/>
                <w:sz w:val="24"/>
                <w:szCs w:val="24"/>
              </w:rPr>
            </w:pPr>
            <w:r>
              <w:rPr>
                <w:sz w:val="24"/>
                <w:szCs w:val="24"/>
              </w:rPr>
              <w:t>ounz@vojvodina.gov.rs</w:t>
            </w:r>
          </w:p>
        </w:tc>
      </w:tr>
      <w:tr w:rsidR="001F3AF1" w:rsidRPr="00454656" w:rsidTr="004C3D0B">
        <w:trPr>
          <w:trHeight w:val="305"/>
        </w:trPr>
        <w:tc>
          <w:tcPr>
            <w:tcW w:w="2552" w:type="dxa"/>
          </w:tcPr>
          <w:p w:rsidR="00D4502B" w:rsidRPr="00454656" w:rsidRDefault="00D4502B" w:rsidP="00D4502B">
            <w:pPr>
              <w:tabs>
                <w:tab w:val="center" w:pos="4703"/>
                <w:tab w:val="right" w:pos="9406"/>
              </w:tabs>
              <w:spacing w:after="0" w:line="240" w:lineRule="auto"/>
              <w:ind w:left="-198" w:firstLine="108"/>
              <w:rPr>
                <w:rFonts w:eastAsia="Times New Roman" w:cstheme="minorHAnsi"/>
                <w:noProof/>
                <w:sz w:val="24"/>
                <w:szCs w:val="24"/>
                <w:lang w:val="sr-Cyrl-RS"/>
              </w:rPr>
            </w:pPr>
          </w:p>
        </w:tc>
        <w:tc>
          <w:tcPr>
            <w:tcW w:w="2835" w:type="dxa"/>
          </w:tcPr>
          <w:p w:rsidR="00D4502B" w:rsidRPr="00454656" w:rsidRDefault="00D4502B" w:rsidP="00D4502B">
            <w:pPr>
              <w:tabs>
                <w:tab w:val="center" w:pos="4703"/>
                <w:tab w:val="right" w:pos="9406"/>
              </w:tabs>
              <w:spacing w:after="0" w:line="240" w:lineRule="auto"/>
              <w:rPr>
                <w:rFonts w:eastAsia="Times New Roman" w:cstheme="minorHAnsi"/>
                <w:sz w:val="24"/>
                <w:szCs w:val="24"/>
                <w:lang w:val="sr-Cyrl-RS"/>
              </w:rPr>
            </w:pPr>
          </w:p>
          <w:p w:rsidR="00D4502B" w:rsidRPr="00454656" w:rsidRDefault="00D4502B" w:rsidP="00D4502B">
            <w:pPr>
              <w:tabs>
                <w:tab w:val="center" w:pos="4703"/>
                <w:tab w:val="right" w:pos="9406"/>
              </w:tabs>
              <w:spacing w:after="0" w:line="240" w:lineRule="auto"/>
              <w:rPr>
                <w:rFonts w:eastAsia="Times New Roman" w:cstheme="minorHAnsi"/>
                <w:sz w:val="24"/>
                <w:szCs w:val="24"/>
              </w:rPr>
            </w:pPr>
            <w:r>
              <w:rPr>
                <w:sz w:val="24"/>
                <w:szCs w:val="24"/>
              </w:rPr>
              <w:t xml:space="preserve">NUMĂRUL: </w:t>
            </w:r>
            <w:r>
              <w:rPr>
                <w:sz w:val="24"/>
                <w:szCs w:val="24"/>
                <w:shd w:val="clear" w:color="auto" w:fill="FFFFFF"/>
              </w:rPr>
              <w:t>000216305 2026 09427 001 000 000 001</w:t>
            </w:r>
          </w:p>
        </w:tc>
        <w:tc>
          <w:tcPr>
            <w:tcW w:w="5448" w:type="dxa"/>
            <w:gridSpan w:val="2"/>
          </w:tcPr>
          <w:p w:rsidR="00D4502B" w:rsidRPr="00454656" w:rsidRDefault="00D4502B" w:rsidP="00D4502B">
            <w:pPr>
              <w:tabs>
                <w:tab w:val="center" w:pos="4703"/>
                <w:tab w:val="right" w:pos="9406"/>
              </w:tabs>
              <w:spacing w:after="0" w:line="240" w:lineRule="auto"/>
              <w:rPr>
                <w:rFonts w:eastAsia="Times New Roman" w:cstheme="minorHAnsi"/>
                <w:sz w:val="24"/>
                <w:szCs w:val="24"/>
                <w:lang w:val="sr-Cyrl-RS"/>
              </w:rPr>
            </w:pPr>
          </w:p>
          <w:p w:rsidR="00D4502B" w:rsidRPr="00454656" w:rsidRDefault="00D4502B" w:rsidP="00D4502B">
            <w:pPr>
              <w:tabs>
                <w:tab w:val="center" w:pos="4703"/>
                <w:tab w:val="right" w:pos="9406"/>
              </w:tabs>
              <w:spacing w:after="0" w:line="240" w:lineRule="auto"/>
              <w:rPr>
                <w:rFonts w:eastAsia="Times New Roman" w:cstheme="minorHAnsi"/>
                <w:sz w:val="24"/>
                <w:szCs w:val="24"/>
              </w:rPr>
            </w:pPr>
            <w:r>
              <w:rPr>
                <w:sz w:val="24"/>
                <w:szCs w:val="24"/>
              </w:rPr>
              <w:t>DATA: 26. 01. 2026</w:t>
            </w:r>
          </w:p>
        </w:tc>
      </w:tr>
      <w:tr w:rsidR="001F3AF1" w:rsidRPr="00454656" w:rsidTr="004C3D0B">
        <w:trPr>
          <w:trHeight w:val="305"/>
        </w:trPr>
        <w:tc>
          <w:tcPr>
            <w:tcW w:w="2552" w:type="dxa"/>
          </w:tcPr>
          <w:p w:rsidR="00D4502B" w:rsidRPr="00454656" w:rsidRDefault="00D4502B" w:rsidP="00D4502B">
            <w:pPr>
              <w:tabs>
                <w:tab w:val="center" w:pos="4703"/>
                <w:tab w:val="right" w:pos="9406"/>
              </w:tabs>
              <w:spacing w:after="0" w:line="240" w:lineRule="auto"/>
              <w:ind w:left="-198" w:firstLine="108"/>
              <w:rPr>
                <w:rFonts w:eastAsia="Times New Roman" w:cstheme="minorHAnsi"/>
                <w:noProof/>
                <w:sz w:val="24"/>
                <w:szCs w:val="24"/>
                <w:lang w:val="sr-Cyrl-RS"/>
              </w:rPr>
            </w:pPr>
          </w:p>
        </w:tc>
        <w:tc>
          <w:tcPr>
            <w:tcW w:w="2835" w:type="dxa"/>
          </w:tcPr>
          <w:p w:rsidR="00D4502B" w:rsidRPr="00454656" w:rsidRDefault="00D4502B" w:rsidP="00D4502B">
            <w:pPr>
              <w:tabs>
                <w:tab w:val="center" w:pos="4703"/>
                <w:tab w:val="right" w:pos="9406"/>
              </w:tabs>
              <w:spacing w:after="0" w:line="240" w:lineRule="auto"/>
              <w:rPr>
                <w:rFonts w:eastAsia="Times New Roman" w:cstheme="minorHAnsi"/>
                <w:sz w:val="24"/>
                <w:szCs w:val="24"/>
                <w:lang w:val="sr-Cyrl-RS"/>
              </w:rPr>
            </w:pPr>
          </w:p>
        </w:tc>
        <w:tc>
          <w:tcPr>
            <w:tcW w:w="5448" w:type="dxa"/>
            <w:gridSpan w:val="2"/>
          </w:tcPr>
          <w:p w:rsidR="00D4502B" w:rsidRPr="00454656" w:rsidRDefault="00D4502B" w:rsidP="00D4502B">
            <w:pPr>
              <w:tabs>
                <w:tab w:val="center" w:pos="4703"/>
                <w:tab w:val="right" w:pos="9406"/>
              </w:tabs>
              <w:spacing w:after="0" w:line="240" w:lineRule="auto"/>
              <w:rPr>
                <w:rFonts w:eastAsia="Times New Roman" w:cstheme="minorHAnsi"/>
                <w:sz w:val="24"/>
                <w:szCs w:val="24"/>
                <w:lang w:val="sr-Cyrl-RS"/>
              </w:rPr>
            </w:pPr>
          </w:p>
        </w:tc>
      </w:tr>
    </w:tbl>
    <w:p w:rsidR="00D4502B" w:rsidRPr="00454656" w:rsidRDefault="00D4502B" w:rsidP="00F31B50">
      <w:pPr>
        <w:spacing w:after="0" w:line="240" w:lineRule="auto"/>
        <w:ind w:firstLine="720"/>
        <w:jc w:val="both"/>
        <w:rPr>
          <w:rFonts w:eastAsia="Times New Roman" w:cstheme="minorHAnsi"/>
          <w:sz w:val="24"/>
          <w:szCs w:val="24"/>
        </w:rPr>
      </w:pPr>
      <w:r>
        <w:rPr>
          <w:sz w:val="24"/>
          <w:szCs w:val="24"/>
        </w:rPr>
        <w:t>În baza articolului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articolului 2 Regulamentul</w:t>
      </w:r>
      <w:r>
        <w:rPr>
          <w:b/>
          <w:bCs/>
          <w:sz w:val="24"/>
          <w:szCs w:val="24"/>
        </w:rPr>
        <w:t xml:space="preserve"> </w:t>
      </w:r>
      <w:r w:rsidRPr="004E73FB">
        <w:rPr>
          <w:bCs/>
          <w:sz w:val="24"/>
          <w:szCs w:val="24"/>
        </w:rPr>
        <w:t xml:space="preserve">privind repartizarea mijloacelor bugetare ale Secretariatului Provincial pentru Educaţie, Reglementări, Administraţie şi Minorităţile Naţionale- Comunităţile Naţionale pentru finanţarea şi cofinanţarea  programelor  şi proiectelor din domeniul ridicării calităţii procesului educativ-instructiv al </w:t>
      </w:r>
      <w:r w:rsidRPr="004E73FB">
        <w:rPr>
          <w:b/>
          <w:bCs/>
          <w:sz w:val="24"/>
          <w:szCs w:val="24"/>
        </w:rPr>
        <w:t>învăţământului mediu– cheltuielile</w:t>
      </w:r>
      <w:r w:rsidRPr="004E73FB">
        <w:rPr>
          <w:bCs/>
          <w:sz w:val="24"/>
          <w:szCs w:val="24"/>
        </w:rPr>
        <w:t xml:space="preserve"> de transport organizat al elevilor şcolilor medii cu sediul în P.A. Voivodina la Târgul Educaţiei din Novi Sad, pentru anul 2026 („Buletinul oficial al P.A.V.”, nr.</w:t>
      </w:r>
      <w:r>
        <w:rPr>
          <w:sz w:val="24"/>
          <w:szCs w:val="24"/>
        </w:rPr>
        <w:t xml:space="preserve"> 3/26 ), raportat la Hotărârea Adunării Provinciei privind bugetul Provinciei Autonome Voivodina pentru anul 2026 („Buletinul oficial al P.A.V.”, nr. 57/24), secretarul provincial emite: </w:t>
      </w:r>
    </w:p>
    <w:p w:rsidR="00D4502B" w:rsidRPr="00454656" w:rsidRDefault="00D4502B" w:rsidP="00D4502B">
      <w:pPr>
        <w:spacing w:after="0" w:line="240" w:lineRule="auto"/>
        <w:jc w:val="both"/>
        <w:rPr>
          <w:rFonts w:eastAsia="Calibri" w:cstheme="minorHAnsi"/>
          <w:sz w:val="24"/>
          <w:szCs w:val="24"/>
          <w:lang w:val="sr-Cyrl-RS" w:eastAsia="ja-JP"/>
        </w:rPr>
      </w:pPr>
    </w:p>
    <w:p w:rsidR="00D4502B" w:rsidRPr="00454656" w:rsidRDefault="00D4502B" w:rsidP="00D4502B">
      <w:pPr>
        <w:spacing w:after="0" w:line="240" w:lineRule="auto"/>
        <w:jc w:val="center"/>
        <w:rPr>
          <w:rFonts w:eastAsia="Times New Roman" w:cstheme="minorHAnsi"/>
          <w:b/>
          <w:bCs/>
          <w:sz w:val="24"/>
          <w:szCs w:val="24"/>
        </w:rPr>
      </w:pPr>
      <w:r>
        <w:rPr>
          <w:b/>
          <w:bCs/>
          <w:sz w:val="24"/>
          <w:szCs w:val="24"/>
        </w:rPr>
        <w:t>CONCURS</w:t>
      </w:r>
    </w:p>
    <w:p w:rsidR="005F6F29" w:rsidRPr="00454656" w:rsidRDefault="00D4502B" w:rsidP="00D4502B">
      <w:pPr>
        <w:spacing w:after="0" w:line="240" w:lineRule="auto"/>
        <w:jc w:val="center"/>
        <w:rPr>
          <w:rFonts w:eastAsia="Times New Roman" w:cstheme="minorHAnsi"/>
          <w:b/>
          <w:sz w:val="24"/>
          <w:szCs w:val="24"/>
        </w:rPr>
      </w:pPr>
      <w:r>
        <w:rPr>
          <w:b/>
          <w:sz w:val="24"/>
          <w:szCs w:val="24"/>
        </w:rPr>
        <w:t>PENTRU FINANŢAREA ŞI COFINANŢAREA PROGRAMELOR ȘI PROIECTELOR DIN DOMENIUL RIDICĂRII CALITĂŢII PROCESULUI EDUCATIV- INSTRUCTIV AL ÎNVĂŢĂMÂNTULUI MEDIU – CHELTUIELILE DE TRANSPORT ORGANIZAT AL ELEVILOR ŞCOLILOR MEDII CU SEDIUL ÎN P.A. VOIVODINA LA TÂRGUL EDUCAŢIEI „INDICATOARE”</w:t>
      </w:r>
      <w:r w:rsidR="004E73FB">
        <w:rPr>
          <w:b/>
          <w:sz w:val="24"/>
          <w:szCs w:val="24"/>
        </w:rPr>
        <w:t xml:space="preserve"> DIN NOVI SAD PENTRU ANUL 2026 </w:t>
      </w:r>
    </w:p>
    <w:p w:rsidR="00D4502B" w:rsidRPr="00454656" w:rsidRDefault="00D4502B" w:rsidP="00D4502B">
      <w:pPr>
        <w:spacing w:after="0" w:line="240" w:lineRule="auto"/>
        <w:jc w:val="center"/>
        <w:rPr>
          <w:rFonts w:eastAsia="Times New Roman" w:cstheme="minorHAnsi"/>
          <w:b/>
          <w:sz w:val="24"/>
          <w:szCs w:val="24"/>
          <w:lang w:val="sr-Cyrl-RS"/>
        </w:rPr>
      </w:pPr>
    </w:p>
    <w:p w:rsidR="00704861" w:rsidRPr="00454656" w:rsidRDefault="00AA0E70" w:rsidP="00140A4F">
      <w:pPr>
        <w:spacing w:before="240"/>
        <w:ind w:firstLine="567"/>
        <w:jc w:val="both"/>
        <w:rPr>
          <w:rFonts w:eastAsia="Times New Roman" w:cstheme="minorHAnsi"/>
          <w:sz w:val="24"/>
          <w:szCs w:val="24"/>
        </w:rPr>
      </w:pPr>
      <w:r>
        <w:rPr>
          <w:sz w:val="24"/>
          <w:szCs w:val="24"/>
        </w:rPr>
        <w:t xml:space="preserve">Secretariatul Provincial pentru Educaţie, Reglementări, Administraţie şi Minorităţile Naţionale – Comunităţile Naţionale, în conformitate cu Planul financiar şi posibilităţile financiare în anul bugetar 2026, va finanţa şi cofinanţa proiectele din domeniul ridicării calităţii procesului </w:t>
      </w:r>
      <w:r>
        <w:rPr>
          <w:b/>
          <w:bCs/>
          <w:sz w:val="24"/>
          <w:szCs w:val="24"/>
        </w:rPr>
        <w:t>educativ-instructiv</w:t>
      </w:r>
      <w:r>
        <w:rPr>
          <w:sz w:val="24"/>
          <w:szCs w:val="24"/>
        </w:rPr>
        <w:t xml:space="preserve"> al învăţământului mediu – cheltuielile de transport organizat al elevilor şcolilor medii cu sediul în teritoriul P.A.Voivodina la Târgul Educaţiei „Indicatoare” din Novi Sad pentru anul 2026, , în cuantum de  1.500.000,00 dinari.</w:t>
      </w:r>
    </w:p>
    <w:p w:rsidR="00BE06E6" w:rsidRPr="00454656" w:rsidRDefault="00704861" w:rsidP="00140A4F">
      <w:pPr>
        <w:spacing w:before="240"/>
        <w:ind w:firstLine="567"/>
        <w:jc w:val="both"/>
        <w:rPr>
          <w:rFonts w:eastAsia="Times New Roman" w:cstheme="minorHAnsi"/>
          <w:sz w:val="24"/>
          <w:szCs w:val="24"/>
        </w:rPr>
      </w:pPr>
      <w:r>
        <w:rPr>
          <w:sz w:val="24"/>
          <w:szCs w:val="24"/>
        </w:rPr>
        <w:t xml:space="preserve">Drept de participare la Concurs au instituţiile de învăţământ mediu de pe teritoriul P.A. Voivodina, </w:t>
      </w:r>
      <w:r>
        <w:rPr>
          <w:b/>
          <w:bCs/>
          <w:sz w:val="24"/>
          <w:szCs w:val="24"/>
        </w:rPr>
        <w:t>al căror fondator este</w:t>
      </w:r>
      <w:r>
        <w:rPr>
          <w:sz w:val="24"/>
          <w:szCs w:val="24"/>
        </w:rPr>
        <w:t xml:space="preserve"> Republica Serbia, Provincia Autonomă sau unitatea autoguvernării locale. Mijloacele invocate sunt destinate pentru ridicarea calităţii procesului </w:t>
      </w:r>
      <w:r>
        <w:rPr>
          <w:b/>
          <w:bCs/>
          <w:sz w:val="24"/>
          <w:szCs w:val="24"/>
        </w:rPr>
        <w:t>educativ-instructiv</w:t>
      </w:r>
      <w:r>
        <w:rPr>
          <w:sz w:val="24"/>
          <w:szCs w:val="24"/>
        </w:rPr>
        <w:t xml:space="preserve"> al învăţământului mediu – pentru cheltuielile de transport organizat al </w:t>
      </w:r>
      <w:r>
        <w:rPr>
          <w:sz w:val="24"/>
          <w:szCs w:val="24"/>
        </w:rPr>
        <w:lastRenderedPageBreak/>
        <w:t xml:space="preserve">elevilor şcolilor medii cu sediul în P.A.Voivodina </w:t>
      </w:r>
      <w:r>
        <w:rPr>
          <w:b/>
          <w:bCs/>
          <w:sz w:val="24"/>
          <w:szCs w:val="24"/>
        </w:rPr>
        <w:t>la Târgul Educaţiei „Indicatoare”, care va avea loc în perioada între 19 și 21 martie 2026, la Novi Sad.</w:t>
      </w:r>
    </w:p>
    <w:p w:rsidR="00BE06E6" w:rsidRPr="00454656" w:rsidRDefault="00BE06E6" w:rsidP="00140A4F">
      <w:pPr>
        <w:spacing w:before="240"/>
        <w:ind w:firstLine="567"/>
        <w:jc w:val="both"/>
        <w:rPr>
          <w:rFonts w:eastAsia="Times New Roman" w:cstheme="minorHAnsi"/>
          <w:sz w:val="24"/>
          <w:szCs w:val="24"/>
        </w:rPr>
      </w:pPr>
      <w:r>
        <w:rPr>
          <w:sz w:val="24"/>
          <w:szCs w:val="24"/>
        </w:rPr>
        <w:t>Semnatarul cererii, trebuie să anexeze cererii la concurs:</w:t>
      </w:r>
    </w:p>
    <w:p w:rsidR="00BE06E6" w:rsidRPr="00454656" w:rsidRDefault="00BE06E6" w:rsidP="00BE06E6">
      <w:pPr>
        <w:pStyle w:val="ListParagraph"/>
        <w:numPr>
          <w:ilvl w:val="0"/>
          <w:numId w:val="9"/>
        </w:numPr>
        <w:spacing w:before="240"/>
        <w:jc w:val="both"/>
        <w:rPr>
          <w:rFonts w:eastAsia="Times New Roman" w:cstheme="minorHAnsi"/>
          <w:sz w:val="24"/>
          <w:szCs w:val="24"/>
        </w:rPr>
      </w:pPr>
      <w:r>
        <w:rPr>
          <w:sz w:val="24"/>
        </w:rPr>
        <w:t>fotocopia adeverinței privind codul de identificare fiscală;</w:t>
      </w:r>
    </w:p>
    <w:p w:rsidR="00BE06E6" w:rsidRPr="00454656" w:rsidRDefault="00BE06E6" w:rsidP="00BE06E6">
      <w:pPr>
        <w:pStyle w:val="ListParagraph"/>
        <w:numPr>
          <w:ilvl w:val="0"/>
          <w:numId w:val="9"/>
        </w:numPr>
        <w:spacing w:before="240"/>
        <w:jc w:val="both"/>
        <w:rPr>
          <w:rFonts w:eastAsia="Times New Roman" w:cstheme="minorHAnsi"/>
          <w:sz w:val="24"/>
          <w:szCs w:val="24"/>
        </w:rPr>
      </w:pPr>
      <w:r>
        <w:rPr>
          <w:sz w:val="24"/>
        </w:rPr>
        <w:t>Oferta neasociată referitoare la prețul transportului organizat al elevilor la Târgul Educației „Indicatoare” din Novi Sad , cu precizarea numărului de participanți (beneficiari de serviciu).</w:t>
      </w:r>
    </w:p>
    <w:p w:rsidR="00BE06E6" w:rsidRPr="00454656" w:rsidRDefault="00BE06E6" w:rsidP="00BE06E6">
      <w:pPr>
        <w:spacing w:before="240"/>
        <w:jc w:val="both"/>
        <w:rPr>
          <w:rFonts w:eastAsia="Times New Roman" w:cstheme="minorHAnsi"/>
          <w:b/>
          <w:bCs/>
          <w:sz w:val="24"/>
          <w:szCs w:val="24"/>
        </w:rPr>
      </w:pPr>
      <w:r>
        <w:rPr>
          <w:b/>
          <w:bCs/>
          <w:sz w:val="24"/>
          <w:szCs w:val="24"/>
        </w:rPr>
        <w:t>DECIDEREA PRIVIND CERERILE ŞI MODUL DE APLICARE</w:t>
      </w:r>
    </w:p>
    <w:p w:rsidR="00BE06E6" w:rsidRPr="00454656" w:rsidRDefault="00BE06E6" w:rsidP="00F31B50">
      <w:pPr>
        <w:spacing w:before="240"/>
        <w:ind w:firstLine="720"/>
        <w:jc w:val="both"/>
        <w:rPr>
          <w:rFonts w:eastAsia="Times New Roman" w:cstheme="minorHAnsi"/>
          <w:sz w:val="24"/>
          <w:szCs w:val="24"/>
        </w:rPr>
      </w:pPr>
      <w:r>
        <w:rPr>
          <w:sz w:val="24"/>
          <w:szCs w:val="24"/>
        </w:rPr>
        <w:t>Cu privire la repartizarea mijloacelor decide secretarul provincial, la propunerea Comisiei pentru desfășurarea concursului, care examinează cererile sosite.</w:t>
      </w:r>
    </w:p>
    <w:p w:rsidR="00306798" w:rsidRPr="00454656" w:rsidRDefault="00306798" w:rsidP="00F31B50">
      <w:pPr>
        <w:spacing w:before="240"/>
        <w:ind w:firstLine="360"/>
        <w:jc w:val="both"/>
        <w:rPr>
          <w:rFonts w:eastAsia="Times New Roman" w:cstheme="minorHAnsi"/>
          <w:sz w:val="24"/>
          <w:szCs w:val="24"/>
        </w:rPr>
      </w:pPr>
      <w:r>
        <w:rPr>
          <w:sz w:val="24"/>
          <w:szCs w:val="24"/>
        </w:rPr>
        <w:t>Criteriile pentru acordarea mijloacelor sunt: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40"/>
        <w:gridCol w:w="6840"/>
        <w:gridCol w:w="1160"/>
      </w:tblGrid>
      <w:tr w:rsidR="001F3AF1" w:rsidRPr="00454656" w:rsidTr="00050059">
        <w:tc>
          <w:tcPr>
            <w:tcW w:w="1340" w:type="dxa"/>
          </w:tcPr>
          <w:p w:rsidR="005F7454" w:rsidRPr="00454656" w:rsidRDefault="00E20471">
            <w:pPr>
              <w:rPr>
                <w:rFonts w:cstheme="minorHAnsi"/>
                <w:sz w:val="24"/>
                <w:szCs w:val="24"/>
              </w:rPr>
            </w:pPr>
            <w:r>
              <w:rPr>
                <w:b/>
                <w:sz w:val="24"/>
                <w:szCs w:val="24"/>
              </w:rPr>
              <w:t>Numărul curent</w:t>
            </w:r>
          </w:p>
        </w:tc>
        <w:tc>
          <w:tcPr>
            <w:tcW w:w="6840" w:type="dxa"/>
          </w:tcPr>
          <w:p w:rsidR="005F7454" w:rsidRPr="00454656" w:rsidRDefault="00E20471">
            <w:pPr>
              <w:rPr>
                <w:rFonts w:cstheme="minorHAnsi"/>
                <w:sz w:val="24"/>
                <w:szCs w:val="24"/>
              </w:rPr>
            </w:pPr>
            <w:r>
              <w:rPr>
                <w:b/>
                <w:sz w:val="24"/>
                <w:szCs w:val="24"/>
              </w:rPr>
              <w:t>Criteriile</w:t>
            </w:r>
          </w:p>
        </w:tc>
        <w:tc>
          <w:tcPr>
            <w:tcW w:w="1160" w:type="dxa"/>
          </w:tcPr>
          <w:p w:rsidR="005F7454" w:rsidRPr="00454656" w:rsidRDefault="00E20471">
            <w:pPr>
              <w:rPr>
                <w:rFonts w:cstheme="minorHAnsi"/>
                <w:sz w:val="24"/>
                <w:szCs w:val="24"/>
              </w:rPr>
            </w:pPr>
            <w:r>
              <w:rPr>
                <w:b/>
                <w:sz w:val="24"/>
                <w:szCs w:val="24"/>
              </w:rPr>
              <w:t>Punctele</w:t>
            </w:r>
          </w:p>
        </w:tc>
      </w:tr>
      <w:tr w:rsidR="001F3AF1" w:rsidRPr="00454656" w:rsidTr="00050059">
        <w:tc>
          <w:tcPr>
            <w:tcW w:w="1340" w:type="dxa"/>
          </w:tcPr>
          <w:p w:rsidR="005F7454" w:rsidRPr="00454656" w:rsidRDefault="00E20471">
            <w:pPr>
              <w:rPr>
                <w:rFonts w:cstheme="minorHAnsi"/>
                <w:sz w:val="24"/>
                <w:szCs w:val="24"/>
              </w:rPr>
            </w:pPr>
            <w:r>
              <w:rPr>
                <w:sz w:val="24"/>
                <w:szCs w:val="24"/>
              </w:rPr>
              <w:t>1</w:t>
            </w:r>
          </w:p>
        </w:tc>
        <w:tc>
          <w:tcPr>
            <w:tcW w:w="6840" w:type="dxa"/>
          </w:tcPr>
          <w:p w:rsidR="005F7454" w:rsidRPr="00454656" w:rsidRDefault="00E20471">
            <w:pPr>
              <w:rPr>
                <w:rFonts w:cstheme="minorHAnsi"/>
                <w:sz w:val="24"/>
                <w:szCs w:val="24"/>
              </w:rPr>
            </w:pPr>
            <w:r>
              <w:rPr>
                <w:sz w:val="24"/>
                <w:szCs w:val="24"/>
              </w:rPr>
              <w:t>numărul de elevi care participă la transportul organizat la Târgul Educaţiei „Indicatoare”</w:t>
            </w:r>
          </w:p>
        </w:tc>
        <w:tc>
          <w:tcPr>
            <w:tcW w:w="1160" w:type="dxa"/>
          </w:tcPr>
          <w:p w:rsidR="005F7454" w:rsidRPr="00454656" w:rsidRDefault="00E20471">
            <w:pPr>
              <w:rPr>
                <w:rFonts w:cstheme="minorHAnsi"/>
                <w:sz w:val="24"/>
                <w:szCs w:val="24"/>
              </w:rPr>
            </w:pPr>
            <w:r>
              <w:rPr>
                <w:sz w:val="24"/>
                <w:szCs w:val="24"/>
              </w:rPr>
              <w:t>0-40</w:t>
            </w:r>
          </w:p>
        </w:tc>
      </w:tr>
      <w:tr w:rsidR="001F3AF1" w:rsidRPr="00454656" w:rsidTr="00050059">
        <w:tc>
          <w:tcPr>
            <w:tcW w:w="1340" w:type="dxa"/>
          </w:tcPr>
          <w:p w:rsidR="005F7454" w:rsidRPr="00454656" w:rsidRDefault="00E20471">
            <w:pPr>
              <w:rPr>
                <w:rFonts w:cstheme="minorHAnsi"/>
                <w:sz w:val="24"/>
                <w:szCs w:val="24"/>
              </w:rPr>
            </w:pPr>
            <w:r>
              <w:rPr>
                <w:sz w:val="24"/>
                <w:szCs w:val="24"/>
              </w:rPr>
              <w:t>2</w:t>
            </w:r>
          </w:p>
        </w:tc>
        <w:tc>
          <w:tcPr>
            <w:tcW w:w="6840" w:type="dxa"/>
          </w:tcPr>
          <w:p w:rsidR="005F7454" w:rsidRPr="00454656" w:rsidRDefault="00E20471">
            <w:pPr>
              <w:rPr>
                <w:rFonts w:cstheme="minorHAnsi"/>
                <w:sz w:val="24"/>
                <w:szCs w:val="24"/>
              </w:rPr>
            </w:pPr>
            <w:r>
              <w:rPr>
                <w:sz w:val="24"/>
                <w:szCs w:val="24"/>
              </w:rPr>
              <w:t>Distanța dintre sediul școlii și Novi Sad (km, într-un sens)</w:t>
            </w:r>
          </w:p>
        </w:tc>
        <w:tc>
          <w:tcPr>
            <w:tcW w:w="1160" w:type="dxa"/>
          </w:tcPr>
          <w:p w:rsidR="005F7454" w:rsidRPr="00454656" w:rsidRDefault="00E20471">
            <w:pPr>
              <w:rPr>
                <w:rFonts w:cstheme="minorHAnsi"/>
                <w:sz w:val="24"/>
                <w:szCs w:val="24"/>
              </w:rPr>
            </w:pPr>
            <w:r>
              <w:rPr>
                <w:sz w:val="24"/>
                <w:szCs w:val="24"/>
              </w:rPr>
              <w:t>0-25</w:t>
            </w:r>
          </w:p>
        </w:tc>
      </w:tr>
      <w:tr w:rsidR="001F3AF1" w:rsidRPr="00454656" w:rsidTr="00050059">
        <w:tc>
          <w:tcPr>
            <w:tcW w:w="1340" w:type="dxa"/>
          </w:tcPr>
          <w:p w:rsidR="005F7454" w:rsidRPr="00454656" w:rsidRDefault="00E20471">
            <w:pPr>
              <w:rPr>
                <w:rFonts w:cstheme="minorHAnsi"/>
                <w:sz w:val="24"/>
                <w:szCs w:val="24"/>
              </w:rPr>
            </w:pPr>
            <w:r>
              <w:rPr>
                <w:sz w:val="24"/>
                <w:szCs w:val="24"/>
              </w:rPr>
              <w:t>3</w:t>
            </w:r>
          </w:p>
        </w:tc>
        <w:tc>
          <w:tcPr>
            <w:tcW w:w="6840" w:type="dxa"/>
          </w:tcPr>
          <w:p w:rsidR="005F7454" w:rsidRPr="00454656" w:rsidRDefault="00E20471">
            <w:pPr>
              <w:rPr>
                <w:rFonts w:cstheme="minorHAnsi"/>
                <w:sz w:val="24"/>
                <w:szCs w:val="24"/>
              </w:rPr>
            </w:pPr>
            <w:r>
              <w:rPr>
                <w:sz w:val="24"/>
                <w:szCs w:val="24"/>
              </w:rPr>
              <w:t>Nivelul de participare financiară a semnatarului și/sau de alte surse la cheltuielile de transport</w:t>
            </w:r>
          </w:p>
        </w:tc>
        <w:tc>
          <w:tcPr>
            <w:tcW w:w="1160" w:type="dxa"/>
          </w:tcPr>
          <w:p w:rsidR="005F7454" w:rsidRPr="00454656" w:rsidRDefault="00E20471">
            <w:pPr>
              <w:rPr>
                <w:rFonts w:cstheme="minorHAnsi"/>
                <w:sz w:val="24"/>
                <w:szCs w:val="24"/>
              </w:rPr>
            </w:pPr>
            <w:r>
              <w:rPr>
                <w:sz w:val="24"/>
                <w:szCs w:val="24"/>
              </w:rPr>
              <w:t>0-25</w:t>
            </w:r>
          </w:p>
        </w:tc>
      </w:tr>
      <w:tr w:rsidR="001F3AF1" w:rsidRPr="00454656" w:rsidTr="00050059">
        <w:tc>
          <w:tcPr>
            <w:tcW w:w="1340" w:type="dxa"/>
          </w:tcPr>
          <w:p w:rsidR="005F7454" w:rsidRPr="00454656" w:rsidRDefault="00E20471">
            <w:pPr>
              <w:rPr>
                <w:rFonts w:cstheme="minorHAnsi"/>
                <w:sz w:val="24"/>
                <w:szCs w:val="24"/>
              </w:rPr>
            </w:pPr>
            <w:r>
              <w:rPr>
                <w:sz w:val="24"/>
                <w:szCs w:val="24"/>
              </w:rPr>
              <w:t>4</w:t>
            </w:r>
          </w:p>
        </w:tc>
        <w:tc>
          <w:tcPr>
            <w:tcW w:w="6840" w:type="dxa"/>
          </w:tcPr>
          <w:p w:rsidR="005F7454" w:rsidRPr="00454656" w:rsidRDefault="00E20471">
            <w:pPr>
              <w:rPr>
                <w:rFonts w:cstheme="minorHAnsi"/>
                <w:sz w:val="24"/>
                <w:szCs w:val="24"/>
              </w:rPr>
            </w:pPr>
            <w:r>
              <w:rPr>
                <w:sz w:val="24"/>
                <w:szCs w:val="24"/>
              </w:rPr>
              <w:t>Semnatarul cererii nu a folosit mijloacle în baza acestui temei în anul precedent</w:t>
            </w:r>
          </w:p>
        </w:tc>
        <w:tc>
          <w:tcPr>
            <w:tcW w:w="1160" w:type="dxa"/>
          </w:tcPr>
          <w:p w:rsidR="005F7454" w:rsidRPr="00454656" w:rsidRDefault="00E20471">
            <w:pPr>
              <w:rPr>
                <w:rFonts w:cstheme="minorHAnsi"/>
                <w:sz w:val="24"/>
                <w:szCs w:val="24"/>
              </w:rPr>
            </w:pPr>
            <w:r>
              <w:rPr>
                <w:sz w:val="24"/>
                <w:szCs w:val="24"/>
              </w:rPr>
              <w:t>0-10</w:t>
            </w:r>
          </w:p>
        </w:tc>
      </w:tr>
    </w:tbl>
    <w:p w:rsidR="005F7454" w:rsidRPr="00454656" w:rsidRDefault="005F7454">
      <w:pPr>
        <w:rPr>
          <w:rFonts w:cstheme="minorHAnsi"/>
          <w:sz w:val="24"/>
          <w:szCs w:val="24"/>
          <w:lang w:val="sr-Cyrl-RS"/>
        </w:rPr>
      </w:pPr>
    </w:p>
    <w:p w:rsidR="00D4502B" w:rsidRPr="00454656" w:rsidRDefault="00C16E4C" w:rsidP="00306798">
      <w:pPr>
        <w:spacing w:after="60" w:line="240" w:lineRule="auto"/>
        <w:jc w:val="both"/>
        <w:rPr>
          <w:rFonts w:eastAsia="Times New Roman" w:cstheme="minorHAnsi"/>
          <w:b/>
          <w:bCs/>
          <w:sz w:val="24"/>
          <w:szCs w:val="24"/>
        </w:rPr>
      </w:pPr>
      <w:r>
        <w:rPr>
          <w:b/>
          <w:bCs/>
          <w:sz w:val="24"/>
          <w:szCs w:val="24"/>
        </w:rPr>
        <w:t>MODUL DE PREZENTARE A CERERII:</w:t>
      </w:r>
    </w:p>
    <w:p w:rsidR="005373B7" w:rsidRPr="00454656" w:rsidRDefault="003B223E" w:rsidP="00F31B50">
      <w:pPr>
        <w:ind w:firstLine="720"/>
        <w:jc w:val="both"/>
        <w:rPr>
          <w:rFonts w:eastAsia="Times New Roman" w:cstheme="minorHAnsi"/>
          <w:sz w:val="24"/>
          <w:szCs w:val="24"/>
        </w:rPr>
      </w:pPr>
      <w:r>
        <w:rPr>
          <w:sz w:val="24"/>
          <w:szCs w:val="24"/>
        </w:rPr>
        <w:t xml:space="preserve">Cererea la concurs se depune în formă scrisă, pe formularul unic care se publică pe pagina web a Secretariatului și se prezintă în </w:t>
      </w:r>
      <w:r>
        <w:rPr>
          <w:sz w:val="24"/>
          <w:szCs w:val="24"/>
          <w:u w:val="single"/>
        </w:rPr>
        <w:t>formă tipărită</w:t>
      </w:r>
      <w:r>
        <w:rPr>
          <w:sz w:val="24"/>
          <w:szCs w:val="24"/>
        </w:rPr>
        <w:t xml:space="preserve">, în plic închis, pe adresa: </w:t>
      </w:r>
    </w:p>
    <w:p w:rsidR="005373B7" w:rsidRPr="00454656" w:rsidRDefault="005373B7" w:rsidP="005373B7">
      <w:pPr>
        <w:spacing w:after="0" w:line="240" w:lineRule="auto"/>
        <w:ind w:left="720"/>
        <w:jc w:val="both"/>
        <w:rPr>
          <w:rFonts w:eastAsia="Times New Roman" w:cstheme="minorHAnsi"/>
          <w:sz w:val="24"/>
          <w:szCs w:val="24"/>
          <w:lang w:val="sr-Cyrl-RS"/>
        </w:rPr>
      </w:pPr>
    </w:p>
    <w:p w:rsidR="005373B7" w:rsidRPr="00454656" w:rsidRDefault="005373B7" w:rsidP="00050059">
      <w:pPr>
        <w:spacing w:after="0" w:line="240" w:lineRule="auto"/>
        <w:ind w:firstLine="720"/>
        <w:jc w:val="both"/>
        <w:rPr>
          <w:rFonts w:eastAsia="Calibri" w:cstheme="minorHAnsi"/>
          <w:sz w:val="24"/>
          <w:szCs w:val="24"/>
        </w:rPr>
      </w:pPr>
      <w:r>
        <w:rPr>
          <w:b/>
          <w:bCs/>
          <w:sz w:val="24"/>
          <w:szCs w:val="24"/>
        </w:rPr>
        <w:t>SECRETARIATUL PROVINCIAL PENTRU EDUCAȚIE, REGLEMENTĂRI, ADMINISTRAȚIE ȘI MINORITĂȚILE NAȚIONALE - COMUNITĂȚILE NAȚIONALE, BULEVAR MIHAJLA PUPINA 16, 21000 NOVI SAD</w:t>
      </w:r>
      <w:r>
        <w:rPr>
          <w:sz w:val="24"/>
          <w:szCs w:val="24"/>
        </w:rPr>
        <w:t xml:space="preserve">, cu mențiunea denumirii concursului, </w:t>
      </w:r>
      <w:r>
        <w:rPr>
          <w:sz w:val="24"/>
          <w:szCs w:val="24"/>
          <w:u w:val="single"/>
        </w:rPr>
        <w:t>prin poștă sau se depune personal</w:t>
      </w:r>
      <w:r>
        <w:rPr>
          <w:sz w:val="24"/>
          <w:szCs w:val="24"/>
        </w:rPr>
        <w:t xml:space="preserve"> la registratura organelor provinciale ale administrației (la adresa menționată) între orele 9,00 și 14,00. </w:t>
      </w:r>
    </w:p>
    <w:p w:rsidR="00050059" w:rsidRPr="00454656" w:rsidRDefault="00050059" w:rsidP="005373B7">
      <w:pPr>
        <w:tabs>
          <w:tab w:val="left" w:pos="3960"/>
        </w:tabs>
        <w:spacing w:after="0" w:line="240" w:lineRule="auto"/>
        <w:jc w:val="both"/>
        <w:rPr>
          <w:rFonts w:eastAsia="Times New Roman" w:cstheme="minorHAnsi"/>
          <w:b/>
          <w:sz w:val="24"/>
          <w:szCs w:val="24"/>
          <w:lang w:val="sr-Cyrl-RS"/>
        </w:rPr>
      </w:pPr>
    </w:p>
    <w:p w:rsidR="005373B7" w:rsidRPr="00454656" w:rsidRDefault="005373B7" w:rsidP="005373B7">
      <w:pPr>
        <w:tabs>
          <w:tab w:val="left" w:pos="3960"/>
        </w:tabs>
        <w:spacing w:after="0" w:line="240" w:lineRule="auto"/>
        <w:jc w:val="both"/>
        <w:rPr>
          <w:rFonts w:eastAsia="Times New Roman" w:cstheme="minorHAnsi"/>
          <w:b/>
          <w:sz w:val="24"/>
          <w:szCs w:val="24"/>
          <w:u w:val="single"/>
        </w:rPr>
      </w:pPr>
      <w:r>
        <w:rPr>
          <w:sz w:val="24"/>
          <w:szCs w:val="24"/>
        </w:rPr>
        <w:t xml:space="preserve">Documentația completă de concurs se poate prelua începând cu  </w:t>
      </w:r>
      <w:r w:rsidR="004E73FB">
        <w:rPr>
          <w:bCs/>
          <w:sz w:val="24"/>
          <w:szCs w:val="24"/>
        </w:rPr>
        <w:t>26.</w:t>
      </w:r>
      <w:r w:rsidR="004E73FB">
        <w:rPr>
          <w:sz w:val="24"/>
          <w:szCs w:val="24"/>
        </w:rPr>
        <w:t>01.</w:t>
      </w:r>
      <w:r w:rsidRPr="004E73FB">
        <w:rPr>
          <w:sz w:val="24"/>
          <w:szCs w:val="24"/>
        </w:rPr>
        <w:t>2026</w:t>
      </w:r>
      <w:r>
        <w:rPr>
          <w:sz w:val="24"/>
          <w:szCs w:val="24"/>
        </w:rPr>
        <w:t xml:space="preserve"> pe </w:t>
      </w:r>
      <w:r>
        <w:rPr>
          <w:b/>
          <w:bCs/>
          <w:sz w:val="24"/>
          <w:szCs w:val="24"/>
        </w:rPr>
        <w:t>web аdresa</w:t>
      </w:r>
      <w:r>
        <w:rPr>
          <w:sz w:val="24"/>
          <w:szCs w:val="24"/>
        </w:rPr>
        <w:t xml:space="preserve"> Secretariatului: www.puma.vojvodina.gov.rs</w:t>
      </w:r>
    </w:p>
    <w:p w:rsidR="00050059" w:rsidRPr="00454656" w:rsidRDefault="00050059" w:rsidP="003B223E">
      <w:pPr>
        <w:widowControl w:val="0"/>
        <w:autoSpaceDE w:val="0"/>
        <w:autoSpaceDN w:val="0"/>
        <w:spacing w:after="0" w:line="240" w:lineRule="auto"/>
        <w:ind w:firstLine="465"/>
        <w:jc w:val="both"/>
        <w:rPr>
          <w:rFonts w:eastAsia="Calibri" w:cstheme="minorHAnsi"/>
          <w:noProof/>
          <w:sz w:val="24"/>
          <w:szCs w:val="24"/>
          <w:lang w:val="sr-Cyrl-RS" w:eastAsia="en-GB"/>
        </w:rPr>
      </w:pPr>
    </w:p>
    <w:p w:rsidR="003B223E" w:rsidRPr="00454656" w:rsidRDefault="003B223E" w:rsidP="003B223E">
      <w:pPr>
        <w:widowControl w:val="0"/>
        <w:autoSpaceDE w:val="0"/>
        <w:autoSpaceDN w:val="0"/>
        <w:spacing w:after="0" w:line="240" w:lineRule="auto"/>
        <w:ind w:firstLine="465"/>
        <w:jc w:val="both"/>
        <w:rPr>
          <w:rFonts w:eastAsia="Times New Roman" w:cstheme="minorHAnsi"/>
          <w:noProof/>
          <w:sz w:val="24"/>
          <w:szCs w:val="24"/>
        </w:rPr>
      </w:pPr>
      <w:r>
        <w:rPr>
          <w:sz w:val="24"/>
        </w:rPr>
        <w:t>Secretariatul își rezervă dreptul de a-i solicita semntarului cererii după necesitate documentație și informații suplimentare, și că dacă în termen de 8 zile, semnatarul cererii nu procedează conform cererii pentru completarea documentației, Secretariatul va considera cererea incompletă.</w:t>
      </w:r>
    </w:p>
    <w:p w:rsidR="003B223E" w:rsidRPr="00454656" w:rsidRDefault="00722C69" w:rsidP="003B223E">
      <w:pPr>
        <w:widowControl w:val="0"/>
        <w:autoSpaceDE w:val="0"/>
        <w:autoSpaceDN w:val="0"/>
        <w:spacing w:after="0" w:line="240" w:lineRule="auto"/>
        <w:ind w:firstLine="567"/>
        <w:jc w:val="both"/>
        <w:rPr>
          <w:rFonts w:eastAsia="Calibri" w:cstheme="minorHAnsi"/>
          <w:noProof/>
          <w:sz w:val="24"/>
          <w:szCs w:val="24"/>
          <w:u w:val="single"/>
        </w:rPr>
      </w:pPr>
      <w:r>
        <w:rPr>
          <w:sz w:val="24"/>
          <w:u w:val="single"/>
        </w:rPr>
        <w:t>Termenul pentru depunerea cererilor expiră la 6 februarie 2026</w:t>
      </w:r>
    </w:p>
    <w:p w:rsidR="005F6F29" w:rsidRPr="00454656" w:rsidRDefault="005F6F29" w:rsidP="00F31B50">
      <w:pPr>
        <w:spacing w:after="60" w:line="240" w:lineRule="auto"/>
        <w:ind w:firstLine="567"/>
        <w:jc w:val="both"/>
        <w:rPr>
          <w:rFonts w:eastAsia="Times New Roman" w:cstheme="minorHAnsi"/>
          <w:sz w:val="24"/>
          <w:szCs w:val="24"/>
        </w:rPr>
      </w:pPr>
      <w:r>
        <w:rPr>
          <w:b/>
          <w:bCs/>
          <w:sz w:val="24"/>
          <w:szCs w:val="24"/>
        </w:rPr>
        <w:t>O persoană juridică poate prezenta o singură cerere</w:t>
      </w:r>
      <w:r>
        <w:rPr>
          <w:sz w:val="24"/>
          <w:szCs w:val="24"/>
        </w:rPr>
        <w:t xml:space="preserve">. </w:t>
      </w:r>
    </w:p>
    <w:p w:rsidR="005F7454" w:rsidRPr="00454656" w:rsidRDefault="00E20471">
      <w:pPr>
        <w:rPr>
          <w:rFonts w:cstheme="minorHAnsi"/>
          <w:sz w:val="24"/>
          <w:szCs w:val="24"/>
        </w:rPr>
      </w:pPr>
      <w:r>
        <w:rPr>
          <w:sz w:val="24"/>
          <w:szCs w:val="24"/>
        </w:rPr>
        <w:t>Comisia va respinge prin decizie și cererile nepermise, și anume:</w:t>
      </w:r>
    </w:p>
    <w:p w:rsidR="00050059" w:rsidRPr="00454656" w:rsidRDefault="00050059" w:rsidP="00050059">
      <w:pPr>
        <w:pStyle w:val="ListBullet"/>
        <w:spacing w:after="0" w:line="240" w:lineRule="auto"/>
        <w:ind w:left="720" w:hanging="360"/>
        <w:jc w:val="both"/>
        <w:rPr>
          <w:rFonts w:asciiTheme="minorHAnsi" w:hAnsiTheme="minorHAnsi" w:cstheme="minorHAnsi"/>
          <w:szCs w:val="24"/>
        </w:rPr>
      </w:pPr>
      <w:r>
        <w:t>cererile prezentate din partea persoanelor neautorizate și din partea subiecților care nu sunt prevăzuți prin concurs;</w:t>
      </w:r>
    </w:p>
    <w:p w:rsidR="00050059" w:rsidRPr="00454656" w:rsidRDefault="00050059" w:rsidP="00050059">
      <w:pPr>
        <w:pStyle w:val="ListBullet"/>
        <w:spacing w:after="0" w:line="240" w:lineRule="auto"/>
        <w:ind w:left="720" w:hanging="360"/>
        <w:jc w:val="both"/>
        <w:rPr>
          <w:rFonts w:asciiTheme="minorHAnsi" w:hAnsiTheme="minorHAnsi" w:cstheme="minorHAnsi"/>
          <w:szCs w:val="24"/>
        </w:rPr>
      </w:pPr>
      <w:r>
        <w:t>cererile care nu se referă la destinaţia prevăzută în concurs la articolul 3 alineatul 2 din prezentul regulament;</w:t>
      </w:r>
    </w:p>
    <w:p w:rsidR="00050059" w:rsidRPr="00454656" w:rsidRDefault="00050059" w:rsidP="00050059">
      <w:pPr>
        <w:pStyle w:val="ListBullet"/>
        <w:spacing w:after="0" w:line="240" w:lineRule="auto"/>
        <w:ind w:left="720" w:hanging="360"/>
        <w:jc w:val="both"/>
        <w:rPr>
          <w:rFonts w:asciiTheme="minorHAnsi" w:hAnsiTheme="minorHAnsi" w:cstheme="minorHAnsi"/>
          <w:szCs w:val="24"/>
        </w:rPr>
      </w:pPr>
      <w:r>
        <w:rPr>
          <w:rFonts w:asciiTheme="minorHAnsi" w:hAnsiTheme="minorHAnsi"/>
          <w:szCs w:val="24"/>
        </w:rPr>
        <w:t>Cererile prin care se solicită finanțarea cheltuielilor care nu sunt direct legate cu cheltuielile transportului organizat al elevilor, precum și cererile care se referă la cheltuielile apărute din afara perioadei de realizare stabilită prin concurs.</w:t>
      </w:r>
    </w:p>
    <w:p w:rsidR="00050059" w:rsidRPr="00454656" w:rsidRDefault="00050059" w:rsidP="00050059">
      <w:pPr>
        <w:pStyle w:val="ListBullet"/>
        <w:spacing w:after="0" w:line="240" w:lineRule="auto"/>
        <w:ind w:left="720" w:hanging="360"/>
        <w:jc w:val="both"/>
        <w:rPr>
          <w:rFonts w:asciiTheme="minorHAnsi" w:hAnsiTheme="minorHAnsi" w:cstheme="minorHAnsi"/>
          <w:szCs w:val="24"/>
        </w:rPr>
      </w:pPr>
      <w:r>
        <w:t>cererile semnatarilor cererii care nu au depus raport privind cheltuielile și folosirea mijloacelor acordate pentru anul precedent, respectiv pentru care se stabileşte în raport că nu au cheltuit mijloacele , conform destinaţiei, precum și cererile beneficiarilor care nu au achitat obligațiile conform concursurilor anterioare ale Secretariatului în ceea ce privește prezentarea de fotografii sau - material video ca dovadă a activităților realizate;</w:t>
      </w:r>
    </w:p>
    <w:p w:rsidR="00050059" w:rsidRPr="00454656" w:rsidRDefault="00050059" w:rsidP="00050059">
      <w:pPr>
        <w:pStyle w:val="ListBullet"/>
        <w:spacing w:after="0" w:line="240" w:lineRule="auto"/>
        <w:ind w:left="720" w:hanging="360"/>
        <w:jc w:val="both"/>
        <w:rPr>
          <w:rFonts w:asciiTheme="minorHAnsi" w:hAnsiTheme="minorHAnsi" w:cstheme="minorHAnsi"/>
          <w:szCs w:val="24"/>
        </w:rPr>
      </w:pPr>
      <w:r>
        <w:t>cererile semnatarilor care nu au remis raportul narativ și financiar privind realizarea programelor/proiectelor din anul precedent în termenele prevăzute;</w:t>
      </w:r>
    </w:p>
    <w:p w:rsidR="00050059" w:rsidRPr="00454656" w:rsidRDefault="00050059" w:rsidP="00050059">
      <w:pPr>
        <w:pStyle w:val="ListBullet"/>
        <w:spacing w:after="120" w:line="240" w:lineRule="auto"/>
        <w:ind w:left="720" w:hanging="360"/>
        <w:jc w:val="both"/>
        <w:rPr>
          <w:rFonts w:asciiTheme="minorHAnsi" w:hAnsiTheme="minorHAnsi" w:cstheme="minorHAnsi"/>
          <w:szCs w:val="24"/>
        </w:rPr>
      </w:pPr>
      <w:r>
        <w:t>cererile care se referă la achiziția de echipament sau întreținere a echipamentului care este în funcția realizării proiectului, precum nici alte cheltuieli capitale.</w:t>
      </w:r>
    </w:p>
    <w:p w:rsidR="00050059" w:rsidRPr="00454656" w:rsidRDefault="00050059" w:rsidP="005F6F29">
      <w:pPr>
        <w:spacing w:after="0" w:line="240" w:lineRule="auto"/>
        <w:ind w:firstLine="708"/>
        <w:jc w:val="both"/>
        <w:rPr>
          <w:rFonts w:eastAsia="Times New Roman" w:cstheme="minorHAnsi"/>
          <w:b/>
          <w:sz w:val="24"/>
          <w:szCs w:val="24"/>
          <w:lang w:val="sr-Cyrl-RS"/>
        </w:rPr>
      </w:pPr>
    </w:p>
    <w:p w:rsidR="005F6F29" w:rsidRPr="00454656" w:rsidRDefault="005F6F29" w:rsidP="005F6F29">
      <w:pPr>
        <w:spacing w:after="0" w:line="240" w:lineRule="auto"/>
        <w:ind w:firstLine="708"/>
        <w:jc w:val="both"/>
        <w:rPr>
          <w:rFonts w:eastAsia="Times New Roman" w:cstheme="minorHAnsi"/>
          <w:b/>
          <w:sz w:val="24"/>
          <w:szCs w:val="24"/>
        </w:rPr>
      </w:pPr>
      <w:r>
        <w:rPr>
          <w:b/>
          <w:bCs/>
          <w:sz w:val="24"/>
          <w:szCs w:val="24"/>
        </w:rPr>
        <w:t>Informații suplimentare referitoare la realizarea Concursului, se pot obţine la numărul de telefon</w:t>
      </w:r>
      <w:r>
        <w:rPr>
          <w:b/>
          <w:sz w:val="24"/>
          <w:szCs w:val="24"/>
        </w:rPr>
        <w:t xml:space="preserve"> </w:t>
      </w:r>
      <w:r>
        <w:rPr>
          <w:b/>
          <w:bCs/>
          <w:sz w:val="24"/>
          <w:szCs w:val="24"/>
        </w:rPr>
        <w:t>021/ 487-4035.</w:t>
      </w:r>
    </w:p>
    <w:p w:rsidR="00050059" w:rsidRPr="00454656" w:rsidRDefault="00050059" w:rsidP="000D3EEF">
      <w:pPr>
        <w:ind w:left="5760" w:firstLine="720"/>
        <w:rPr>
          <w:rFonts w:eastAsia="Times New Roman" w:cstheme="minorHAnsi"/>
          <w:b/>
          <w:sz w:val="24"/>
          <w:szCs w:val="24"/>
          <w:lang w:val="sr-Cyrl-RS"/>
        </w:rPr>
      </w:pPr>
    </w:p>
    <w:tbl>
      <w:tblPr>
        <w:tblStyle w:val="TableGrid"/>
        <w:tblpPr w:leftFromText="180" w:rightFromText="180" w:vertAnchor="text" w:horzAnchor="margin" w:tblpXSpec="center"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1F3AF1" w:rsidRPr="00454656" w:rsidTr="00050059">
        <w:tc>
          <w:tcPr>
            <w:tcW w:w="5935" w:type="dxa"/>
          </w:tcPr>
          <w:p w:rsidR="00050059" w:rsidRPr="00454656" w:rsidRDefault="00050059" w:rsidP="00050059">
            <w:pPr>
              <w:rPr>
                <w:rFonts w:eastAsia="Times New Roman" w:cstheme="minorHAnsi"/>
                <w:b/>
                <w:sz w:val="24"/>
                <w:szCs w:val="24"/>
                <w:lang w:val="sr-Cyrl-RS"/>
              </w:rPr>
            </w:pPr>
          </w:p>
        </w:tc>
        <w:tc>
          <w:tcPr>
            <w:tcW w:w="3415" w:type="dxa"/>
          </w:tcPr>
          <w:p w:rsidR="00050059" w:rsidRPr="00454656" w:rsidRDefault="00050059" w:rsidP="00050059">
            <w:pPr>
              <w:jc w:val="center"/>
              <w:rPr>
                <w:rFonts w:eastAsia="Times New Roman" w:cstheme="minorHAnsi"/>
                <w:b/>
                <w:sz w:val="24"/>
                <w:szCs w:val="24"/>
              </w:rPr>
            </w:pPr>
            <w:r>
              <w:rPr>
                <w:b/>
                <w:sz w:val="24"/>
                <w:szCs w:val="24"/>
              </w:rPr>
              <w:t>SECRETAR PROVINCIAL</w:t>
            </w:r>
          </w:p>
          <w:p w:rsidR="00050059" w:rsidRPr="00454656" w:rsidRDefault="00050059" w:rsidP="00050059">
            <w:pPr>
              <w:jc w:val="center"/>
              <w:rPr>
                <w:rFonts w:eastAsia="Times New Roman" w:cstheme="minorHAnsi"/>
                <w:b/>
                <w:sz w:val="24"/>
                <w:szCs w:val="24"/>
              </w:rPr>
            </w:pPr>
            <w:r>
              <w:rPr>
                <w:b/>
                <w:sz w:val="24"/>
                <w:szCs w:val="24"/>
              </w:rPr>
              <w:t>Róbert Ótott</w:t>
            </w:r>
          </w:p>
          <w:p w:rsidR="00050059" w:rsidRPr="00454656" w:rsidRDefault="00050059" w:rsidP="00050059">
            <w:pPr>
              <w:spacing w:line="240" w:lineRule="atLeast"/>
              <w:jc w:val="center"/>
              <w:rPr>
                <w:rFonts w:eastAsia="Times New Roman" w:cstheme="minorHAnsi"/>
                <w:b/>
                <w:sz w:val="24"/>
                <w:szCs w:val="24"/>
              </w:rPr>
            </w:pPr>
            <w:bookmarkStart w:id="0" w:name="_GoBack"/>
            <w:bookmarkEnd w:id="0"/>
          </w:p>
          <w:p w:rsidR="00050059" w:rsidRPr="00454656" w:rsidRDefault="00050059" w:rsidP="00050059">
            <w:pPr>
              <w:rPr>
                <w:rFonts w:eastAsia="Times New Roman" w:cstheme="minorHAnsi"/>
                <w:b/>
                <w:sz w:val="24"/>
                <w:szCs w:val="24"/>
                <w:lang w:val="sr-Cyrl-RS"/>
              </w:rPr>
            </w:pPr>
          </w:p>
        </w:tc>
      </w:tr>
    </w:tbl>
    <w:p w:rsidR="00050059" w:rsidRPr="00454656" w:rsidRDefault="00050059" w:rsidP="000D3EEF">
      <w:pPr>
        <w:ind w:left="5760" w:firstLine="720"/>
        <w:rPr>
          <w:rFonts w:eastAsia="Times New Roman" w:cstheme="minorHAnsi"/>
          <w:b/>
          <w:sz w:val="24"/>
          <w:szCs w:val="24"/>
          <w:lang w:val="sr-Cyrl-RS"/>
        </w:rPr>
      </w:pPr>
    </w:p>
    <w:p w:rsidR="00E9371A" w:rsidRPr="00454656" w:rsidRDefault="00E9371A" w:rsidP="000D3EEF">
      <w:pPr>
        <w:tabs>
          <w:tab w:val="left" w:pos="5541"/>
        </w:tabs>
        <w:rPr>
          <w:rFonts w:cstheme="minorHAnsi"/>
          <w:sz w:val="24"/>
          <w:szCs w:val="24"/>
          <w:lang w:val="sr-Cyrl-RS"/>
        </w:rPr>
      </w:pPr>
    </w:p>
    <w:sectPr w:rsidR="00E9371A" w:rsidRPr="0045465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10B6C" w16cex:dateUtc="2025-01-26T11:37:00Z"/>
  <w16cex:commentExtensible w16cex:durableId="5737D1D6" w16cex:dateUtc="2025-01-25T15:05:00Z"/>
  <w16cex:commentExtensible w16cex:durableId="76845D6E" w16cex:dateUtc="2025-01-25T14:09:00Z"/>
  <w16cex:commentExtensible w16cex:durableId="26DC535D" w16cex:dateUtc="2025-01-25T15:02:00Z"/>
  <w16cex:commentExtensible w16cex:durableId="5E00D6E3" w16cex:dateUtc="2025-01-25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5A9B30" w16cid:durableId="70B10B6C"/>
  <w16cid:commentId w16cid:paraId="2E1415A3" w16cid:durableId="5737D1D6"/>
  <w16cid:commentId w16cid:paraId="315DD59A" w16cid:durableId="76845D6E"/>
  <w16cid:commentId w16cid:paraId="2DD2E861" w16cid:durableId="26DC535D"/>
  <w16cid:commentId w16cid:paraId="47A09814" w16cid:durableId="5E00D6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3EF" w:rsidRDefault="009263EF" w:rsidP="00D4502B">
      <w:pPr>
        <w:spacing w:after="0" w:line="240" w:lineRule="auto"/>
      </w:pPr>
      <w:r>
        <w:separator/>
      </w:r>
    </w:p>
  </w:endnote>
  <w:endnote w:type="continuationSeparator" w:id="0">
    <w:p w:rsidR="009263EF" w:rsidRDefault="009263EF" w:rsidP="00D4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3EF" w:rsidRDefault="009263EF" w:rsidP="00D4502B">
      <w:pPr>
        <w:spacing w:after="0" w:line="240" w:lineRule="auto"/>
      </w:pPr>
      <w:r>
        <w:separator/>
      </w:r>
    </w:p>
  </w:footnote>
  <w:footnote w:type="continuationSeparator" w:id="0">
    <w:p w:rsidR="009263EF" w:rsidRDefault="009263EF" w:rsidP="00D45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C890E0"/>
    <w:lvl w:ilvl="0">
      <w:start w:val="1"/>
      <w:numFmt w:val="bullet"/>
      <w:pStyle w:val="ListBullet"/>
      <w:lvlText w:val=""/>
      <w:lvlJc w:val="left"/>
      <w:pPr>
        <w:ind w:left="720" w:hanging="360"/>
      </w:pPr>
      <w:rPr>
        <w:rFonts w:ascii="Symbol" w:hAnsi="Symbol" w:hint="default"/>
      </w:rPr>
    </w:lvl>
  </w:abstractNum>
  <w:abstractNum w:abstractNumId="1"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06C2FC7"/>
    <w:multiLevelType w:val="hybridMultilevel"/>
    <w:tmpl w:val="BD9CC174"/>
    <w:lvl w:ilvl="0" w:tplc="C14AAFB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87013"/>
    <w:multiLevelType w:val="hybridMultilevel"/>
    <w:tmpl w:val="9DC05F46"/>
    <w:lvl w:ilvl="0" w:tplc="3AB0BBA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626F8A"/>
    <w:multiLevelType w:val="hybridMultilevel"/>
    <w:tmpl w:val="D22A5670"/>
    <w:lvl w:ilvl="0" w:tplc="3CD8A4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F44DD2"/>
    <w:multiLevelType w:val="hybridMultilevel"/>
    <w:tmpl w:val="C7CA26AA"/>
    <w:lvl w:ilvl="0" w:tplc="035677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E3CB1"/>
    <w:multiLevelType w:val="hybridMultilevel"/>
    <w:tmpl w:val="D772A8B0"/>
    <w:lvl w:ilvl="0" w:tplc="02FA69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A2854"/>
    <w:multiLevelType w:val="hybridMultilevel"/>
    <w:tmpl w:val="4020944E"/>
    <w:lvl w:ilvl="0" w:tplc="EEF279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595FB9"/>
    <w:multiLevelType w:val="hybridMultilevel"/>
    <w:tmpl w:val="24DA0552"/>
    <w:lvl w:ilvl="0" w:tplc="726CFCC2">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B1AC7"/>
    <w:multiLevelType w:val="hybridMultilevel"/>
    <w:tmpl w:val="8D6C0E72"/>
    <w:lvl w:ilvl="0" w:tplc="85B629A2">
      <w:start w:val="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A382992"/>
    <w:multiLevelType w:val="hybridMultilevel"/>
    <w:tmpl w:val="29307E2A"/>
    <w:lvl w:ilvl="0" w:tplc="43DA6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8"/>
  </w:num>
  <w:num w:numId="3">
    <w:abstractNumId w:val="10"/>
  </w:num>
  <w:num w:numId="4">
    <w:abstractNumId w:val="7"/>
  </w:num>
  <w:num w:numId="5">
    <w:abstractNumId w:val="5"/>
  </w:num>
  <w:num w:numId="6">
    <w:abstractNumId w:val="9"/>
  </w:num>
  <w:num w:numId="7">
    <w:abstractNumId w:val="6"/>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48"/>
    <w:rsid w:val="00050059"/>
    <w:rsid w:val="000D3EEF"/>
    <w:rsid w:val="00103844"/>
    <w:rsid w:val="00140A4F"/>
    <w:rsid w:val="00152A1D"/>
    <w:rsid w:val="00154071"/>
    <w:rsid w:val="001A572B"/>
    <w:rsid w:val="001F3AF1"/>
    <w:rsid w:val="001F5174"/>
    <w:rsid w:val="00242C48"/>
    <w:rsid w:val="002A0891"/>
    <w:rsid w:val="002B4971"/>
    <w:rsid w:val="002B57CA"/>
    <w:rsid w:val="00306798"/>
    <w:rsid w:val="003079A9"/>
    <w:rsid w:val="003A6D63"/>
    <w:rsid w:val="003B223E"/>
    <w:rsid w:val="003C72EC"/>
    <w:rsid w:val="003E6408"/>
    <w:rsid w:val="00443750"/>
    <w:rsid w:val="00454656"/>
    <w:rsid w:val="00455CC7"/>
    <w:rsid w:val="00457ADE"/>
    <w:rsid w:val="00481C14"/>
    <w:rsid w:val="004E73FB"/>
    <w:rsid w:val="004F5D6E"/>
    <w:rsid w:val="004F6807"/>
    <w:rsid w:val="005154B4"/>
    <w:rsid w:val="005373B7"/>
    <w:rsid w:val="005F6F29"/>
    <w:rsid w:val="005F7454"/>
    <w:rsid w:val="006108ED"/>
    <w:rsid w:val="00653004"/>
    <w:rsid w:val="0069582C"/>
    <w:rsid w:val="00704861"/>
    <w:rsid w:val="00722C69"/>
    <w:rsid w:val="007B50FF"/>
    <w:rsid w:val="007D5527"/>
    <w:rsid w:val="00800EDB"/>
    <w:rsid w:val="008708FD"/>
    <w:rsid w:val="008A0DDF"/>
    <w:rsid w:val="008F41C5"/>
    <w:rsid w:val="009263EF"/>
    <w:rsid w:val="00944BE4"/>
    <w:rsid w:val="009539E9"/>
    <w:rsid w:val="00966191"/>
    <w:rsid w:val="009C27EC"/>
    <w:rsid w:val="009F62BA"/>
    <w:rsid w:val="00A14F5A"/>
    <w:rsid w:val="00A21952"/>
    <w:rsid w:val="00AA0E70"/>
    <w:rsid w:val="00AC26D6"/>
    <w:rsid w:val="00B81AD5"/>
    <w:rsid w:val="00B9238F"/>
    <w:rsid w:val="00BA79F3"/>
    <w:rsid w:val="00BA7EF7"/>
    <w:rsid w:val="00BC32FB"/>
    <w:rsid w:val="00BE06E6"/>
    <w:rsid w:val="00C12A14"/>
    <w:rsid w:val="00C16E4C"/>
    <w:rsid w:val="00C70913"/>
    <w:rsid w:val="00C75F46"/>
    <w:rsid w:val="00C763F1"/>
    <w:rsid w:val="00D4502B"/>
    <w:rsid w:val="00D9233D"/>
    <w:rsid w:val="00DD4488"/>
    <w:rsid w:val="00E20471"/>
    <w:rsid w:val="00E60F5A"/>
    <w:rsid w:val="00E9371A"/>
    <w:rsid w:val="00EE6268"/>
    <w:rsid w:val="00EF0C48"/>
    <w:rsid w:val="00EF5C49"/>
    <w:rsid w:val="00F058E9"/>
    <w:rsid w:val="00F2355D"/>
    <w:rsid w:val="00F2598C"/>
    <w:rsid w:val="00F31B50"/>
    <w:rsid w:val="00F453F4"/>
    <w:rsid w:val="00F9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6B54F"/>
  <w15:chartTrackingRefBased/>
  <w15:docId w15:val="{73372DBE-B846-47B6-A05F-FB97056E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02B"/>
  </w:style>
  <w:style w:type="paragraph" w:styleId="Footer">
    <w:name w:val="footer"/>
    <w:basedOn w:val="Normal"/>
    <w:link w:val="FooterChar"/>
    <w:uiPriority w:val="99"/>
    <w:unhideWhenUsed/>
    <w:rsid w:val="00D4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2B"/>
  </w:style>
  <w:style w:type="paragraph" w:styleId="ListParagraph">
    <w:name w:val="List Paragraph"/>
    <w:basedOn w:val="Normal"/>
    <w:uiPriority w:val="34"/>
    <w:qFormat/>
    <w:rsid w:val="00D4502B"/>
    <w:pPr>
      <w:ind w:left="720"/>
      <w:contextualSpacing/>
    </w:pPr>
  </w:style>
  <w:style w:type="character" w:styleId="CommentReference">
    <w:name w:val="annotation reference"/>
    <w:basedOn w:val="DefaultParagraphFont"/>
    <w:uiPriority w:val="99"/>
    <w:semiHidden/>
    <w:unhideWhenUsed/>
    <w:rsid w:val="003B223E"/>
    <w:rPr>
      <w:sz w:val="16"/>
      <w:szCs w:val="16"/>
    </w:rPr>
  </w:style>
  <w:style w:type="paragraph" w:styleId="CommentText">
    <w:name w:val="annotation text"/>
    <w:basedOn w:val="Normal"/>
    <w:link w:val="CommentTextChar"/>
    <w:uiPriority w:val="99"/>
    <w:semiHidden/>
    <w:unhideWhenUsed/>
    <w:rsid w:val="003B223E"/>
    <w:pPr>
      <w:spacing w:line="240" w:lineRule="auto"/>
    </w:pPr>
    <w:rPr>
      <w:sz w:val="20"/>
      <w:szCs w:val="20"/>
    </w:rPr>
  </w:style>
  <w:style w:type="character" w:customStyle="1" w:styleId="CommentTextChar">
    <w:name w:val="Comment Text Char"/>
    <w:basedOn w:val="DefaultParagraphFont"/>
    <w:link w:val="CommentText"/>
    <w:uiPriority w:val="99"/>
    <w:semiHidden/>
    <w:rsid w:val="003B223E"/>
    <w:rPr>
      <w:sz w:val="20"/>
      <w:szCs w:val="20"/>
    </w:rPr>
  </w:style>
  <w:style w:type="paragraph" w:styleId="CommentSubject">
    <w:name w:val="annotation subject"/>
    <w:basedOn w:val="CommentText"/>
    <w:next w:val="CommentText"/>
    <w:link w:val="CommentSubjectChar"/>
    <w:uiPriority w:val="99"/>
    <w:semiHidden/>
    <w:unhideWhenUsed/>
    <w:rsid w:val="003B223E"/>
    <w:rPr>
      <w:b/>
      <w:bCs/>
    </w:rPr>
  </w:style>
  <w:style w:type="character" w:customStyle="1" w:styleId="CommentSubjectChar">
    <w:name w:val="Comment Subject Char"/>
    <w:basedOn w:val="CommentTextChar"/>
    <w:link w:val="CommentSubject"/>
    <w:uiPriority w:val="99"/>
    <w:semiHidden/>
    <w:rsid w:val="003B223E"/>
    <w:rPr>
      <w:b/>
      <w:bCs/>
      <w:sz w:val="20"/>
      <w:szCs w:val="20"/>
    </w:rPr>
  </w:style>
  <w:style w:type="paragraph" w:styleId="BalloonText">
    <w:name w:val="Balloon Text"/>
    <w:basedOn w:val="Normal"/>
    <w:link w:val="BalloonTextChar"/>
    <w:uiPriority w:val="99"/>
    <w:semiHidden/>
    <w:unhideWhenUsed/>
    <w:rsid w:val="00443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50"/>
    <w:rPr>
      <w:rFonts w:ascii="Segoe UI" w:hAnsi="Segoe UI" w:cs="Segoe UI"/>
      <w:sz w:val="18"/>
      <w:szCs w:val="18"/>
    </w:rPr>
  </w:style>
  <w:style w:type="paragraph" w:styleId="ListBullet">
    <w:name w:val="List Bullet"/>
    <w:basedOn w:val="Normal"/>
    <w:uiPriority w:val="99"/>
    <w:unhideWhenUsed/>
    <w:rsid w:val="00050059"/>
    <w:pPr>
      <w:numPr>
        <w:numId w:val="11"/>
      </w:numPr>
      <w:spacing w:after="200" w:line="276" w:lineRule="auto"/>
      <w:ind w:left="0" w:firstLine="0"/>
      <w:contextualSpacing/>
    </w:pPr>
    <w:rPr>
      <w:rFonts w:ascii="Times New Roman" w:eastAsia="Times New Roman" w:hAnsi="Times New Roman"/>
      <w:sz w:val="24"/>
    </w:rPr>
  </w:style>
  <w:style w:type="table" w:styleId="TableGrid">
    <w:name w:val="Table Grid"/>
    <w:basedOn w:val="TableNormal"/>
    <w:uiPriority w:val="39"/>
    <w:rsid w:val="0005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4772-26C7-4E2D-87F8-990D1A63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Vladimir Mitrovic</cp:lastModifiedBy>
  <cp:revision>3</cp:revision>
  <dcterms:created xsi:type="dcterms:W3CDTF">2026-01-23T14:09:00Z</dcterms:created>
  <dcterms:modified xsi:type="dcterms:W3CDTF">2026-01-26T10:49:00Z</dcterms:modified>
</cp:coreProperties>
</file>