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710" w:rsidRPr="00D67804" w:rsidRDefault="00512710" w:rsidP="00512710">
      <w:pPr>
        <w:spacing w:after="5" w:line="250" w:lineRule="auto"/>
        <w:ind w:left="135" w:right="354" w:hanging="10"/>
        <w:jc w:val="both"/>
        <w:rPr>
          <w:rFonts w:ascii="Calibri" w:eastAsia="Calibri" w:hAnsi="Calibri" w:cs="Calibri"/>
          <w:b/>
          <w:color w:val="000000"/>
          <w:sz w:val="20"/>
          <w:szCs w:val="20"/>
        </w:rPr>
      </w:pPr>
      <w:r>
        <w:rPr>
          <w:rFonts w:ascii="Calibri" w:hAnsi="Calibri"/>
          <w:b/>
          <w:noProof/>
          <w:color w:val="000000"/>
          <w:sz w:val="20"/>
          <w:szCs w:val="20"/>
          <w:lang w:val="en-US"/>
        </w:rPr>
        <w:drawing>
          <wp:anchor distT="0" distB="0" distL="114300" distR="114300" simplePos="0" relativeHeight="251659264" behindDoc="0" locked="0" layoutInCell="1" allowOverlap="0" wp14:anchorId="7E52446B" wp14:editId="3517BB5A">
            <wp:simplePos x="0" y="0"/>
            <wp:positionH relativeFrom="column">
              <wp:posOffset>79578</wp:posOffset>
            </wp:positionH>
            <wp:positionV relativeFrom="paragraph">
              <wp:posOffset>-31114</wp:posOffset>
            </wp:positionV>
            <wp:extent cx="1487805" cy="969010"/>
            <wp:effectExtent l="0" t="0" r="0" b="0"/>
            <wp:wrapSquare wrapText="bothSides"/>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5"/>
                    <a:stretch>
                      <a:fillRect/>
                    </a:stretch>
                  </pic:blipFill>
                  <pic:spPr>
                    <a:xfrm>
                      <a:off x="0" y="0"/>
                      <a:ext cx="1487805" cy="969010"/>
                    </a:xfrm>
                    <a:prstGeom prst="rect">
                      <a:avLst/>
                    </a:prstGeom>
                  </pic:spPr>
                </pic:pic>
              </a:graphicData>
            </a:graphic>
          </wp:anchor>
        </w:drawing>
      </w:r>
      <w:r>
        <w:rPr>
          <w:rFonts w:ascii="Calibri" w:hAnsi="Calibri"/>
          <w:b/>
          <w:color w:val="000000"/>
          <w:sz w:val="20"/>
          <w:szCs w:val="20"/>
        </w:rPr>
        <w:t xml:space="preserve">Republica Serbia </w:t>
      </w:r>
    </w:p>
    <w:p w:rsidR="00512710" w:rsidRPr="00D67804" w:rsidRDefault="00512710" w:rsidP="00512710">
      <w:pPr>
        <w:spacing w:after="5" w:line="250" w:lineRule="auto"/>
        <w:ind w:left="135" w:right="354" w:hanging="10"/>
        <w:jc w:val="both"/>
        <w:rPr>
          <w:rFonts w:ascii="Calibri" w:eastAsia="Calibri" w:hAnsi="Calibri" w:cs="Calibri"/>
          <w:b/>
          <w:color w:val="000000"/>
          <w:sz w:val="20"/>
          <w:szCs w:val="20"/>
        </w:rPr>
      </w:pPr>
      <w:r>
        <w:rPr>
          <w:rFonts w:ascii="Calibri" w:hAnsi="Calibri"/>
          <w:b/>
          <w:color w:val="000000"/>
          <w:sz w:val="20"/>
          <w:szCs w:val="20"/>
        </w:rPr>
        <w:t xml:space="preserve">Provincia Autonomă Voivodina </w:t>
      </w:r>
    </w:p>
    <w:p w:rsidR="00512710" w:rsidRPr="00D67804" w:rsidRDefault="00512710" w:rsidP="00D67804">
      <w:pPr>
        <w:spacing w:after="0"/>
        <w:ind w:left="125"/>
        <w:rPr>
          <w:rFonts w:ascii="Calibri" w:eastAsia="Calibri" w:hAnsi="Calibri" w:cs="Calibri"/>
          <w:b/>
          <w:color w:val="000000"/>
          <w:sz w:val="20"/>
          <w:szCs w:val="20"/>
        </w:rPr>
      </w:pPr>
      <w:r>
        <w:rPr>
          <w:rFonts w:ascii="Calibri" w:hAnsi="Calibri"/>
          <w:b/>
          <w:color w:val="000000"/>
          <w:sz w:val="20"/>
          <w:szCs w:val="20"/>
        </w:rPr>
        <w:t xml:space="preserve"> </w:t>
      </w:r>
      <w:r>
        <w:rPr>
          <w:rFonts w:ascii="Calibri" w:hAnsi="Calibri"/>
          <w:b/>
          <w:bCs/>
          <w:color w:val="000000"/>
          <w:sz w:val="20"/>
          <w:szCs w:val="20"/>
        </w:rPr>
        <w:t>Secretariatul Provincial pentru Educaţie, Reglementări, Administraţie</w:t>
      </w:r>
      <w:r>
        <w:rPr>
          <w:rFonts w:ascii="Calibri" w:hAnsi="Calibri"/>
          <w:b/>
          <w:bCs/>
          <w:color w:val="000000"/>
          <w:sz w:val="20"/>
          <w:szCs w:val="20"/>
        </w:rPr>
        <w:br/>
        <w:t>şi Minorităţile Naţionale - Comunităţile Naţionale</w:t>
      </w:r>
      <w:r>
        <w:rPr>
          <w:rFonts w:ascii="Calibri" w:hAnsi="Calibri"/>
          <w:b/>
          <w:color w:val="000000"/>
          <w:sz w:val="20"/>
          <w:szCs w:val="20"/>
        </w:rPr>
        <w:t xml:space="preserve"> </w:t>
      </w:r>
    </w:p>
    <w:p w:rsidR="00512710" w:rsidRPr="00D67804" w:rsidRDefault="00512710" w:rsidP="00D67804">
      <w:pPr>
        <w:spacing w:after="0"/>
        <w:ind w:left="2468"/>
        <w:rPr>
          <w:rFonts w:ascii="Calibri" w:eastAsia="Calibri" w:hAnsi="Calibri" w:cs="Calibri"/>
          <w:b/>
          <w:color w:val="000000"/>
          <w:sz w:val="20"/>
          <w:szCs w:val="20"/>
        </w:rPr>
      </w:pPr>
      <w:r>
        <w:rPr>
          <w:rFonts w:ascii="Calibri" w:hAnsi="Calibri"/>
          <w:b/>
          <w:color w:val="000000"/>
          <w:sz w:val="20"/>
          <w:szCs w:val="20"/>
        </w:rPr>
        <w:t xml:space="preserve"> Bulevar Mihajla Pupina 16, 21000 Novi Sad </w:t>
      </w:r>
    </w:p>
    <w:p w:rsidR="00512710" w:rsidRPr="00D67804" w:rsidRDefault="00512710" w:rsidP="00512710">
      <w:pPr>
        <w:spacing w:after="5" w:line="250" w:lineRule="auto"/>
        <w:ind w:left="2778" w:right="354" w:hanging="10"/>
        <w:jc w:val="both"/>
        <w:rPr>
          <w:rFonts w:ascii="Calibri" w:eastAsia="Calibri" w:hAnsi="Calibri" w:cs="Calibri"/>
          <w:color w:val="000000"/>
          <w:sz w:val="20"/>
          <w:szCs w:val="20"/>
        </w:rPr>
      </w:pPr>
      <w:r>
        <w:rPr>
          <w:rFonts w:ascii="Calibri" w:hAnsi="Calibri"/>
          <w:color w:val="000000"/>
          <w:sz w:val="20"/>
          <w:szCs w:val="20"/>
        </w:rPr>
        <w:t>T: +381 21  487  43 30</w:t>
      </w:r>
    </w:p>
    <w:p w:rsidR="00512710" w:rsidRPr="00D67804" w:rsidRDefault="00512710" w:rsidP="00512710">
      <w:pPr>
        <w:spacing w:after="0"/>
        <w:ind w:left="2768"/>
        <w:rPr>
          <w:rFonts w:ascii="Calibri" w:eastAsia="Calibri" w:hAnsi="Calibri" w:cs="Calibri"/>
          <w:color w:val="000000"/>
          <w:sz w:val="20"/>
          <w:szCs w:val="20"/>
        </w:rPr>
      </w:pPr>
      <w:r>
        <w:rPr>
          <w:rFonts w:ascii="Calibri" w:hAnsi="Calibri"/>
          <w:color w:val="0000FF"/>
          <w:sz w:val="20"/>
          <w:szCs w:val="20"/>
          <w:u w:val="single" w:color="0000FF"/>
        </w:rPr>
        <w:t>ounz@vojvodinа.gov.rs</w:t>
      </w:r>
      <w:r>
        <w:rPr>
          <w:rFonts w:ascii="Calibri" w:hAnsi="Calibri"/>
          <w:color w:val="000000"/>
          <w:sz w:val="20"/>
          <w:szCs w:val="20"/>
        </w:rPr>
        <w:t xml:space="preserve"> </w:t>
      </w:r>
    </w:p>
    <w:p w:rsidR="00512710" w:rsidRPr="00D67804" w:rsidRDefault="00512710" w:rsidP="00512710">
      <w:pPr>
        <w:spacing w:after="0"/>
        <w:ind w:left="2768"/>
        <w:rPr>
          <w:rFonts w:ascii="Calibri" w:eastAsia="Calibri" w:hAnsi="Calibri" w:cs="Calibri"/>
          <w:color w:val="000000"/>
          <w:sz w:val="20"/>
          <w:szCs w:val="20"/>
        </w:rPr>
      </w:pPr>
      <w:r>
        <w:rPr>
          <w:rFonts w:ascii="Calibri" w:hAnsi="Calibri"/>
          <w:color w:val="000000"/>
          <w:sz w:val="20"/>
          <w:szCs w:val="20"/>
        </w:rPr>
        <w:t xml:space="preserve"> </w:t>
      </w:r>
    </w:p>
    <w:p w:rsidR="00512710" w:rsidRPr="00D67804" w:rsidRDefault="00E83F4A" w:rsidP="00512710">
      <w:pPr>
        <w:tabs>
          <w:tab w:val="center" w:pos="3677"/>
          <w:tab w:val="center" w:pos="7310"/>
          <w:tab w:val="center" w:pos="10142"/>
        </w:tabs>
        <w:spacing w:after="5" w:line="250" w:lineRule="auto"/>
        <w:rPr>
          <w:rFonts w:ascii="Calibri" w:eastAsia="Calibri" w:hAnsi="Calibri" w:cs="Calibri"/>
          <w:color w:val="000000"/>
          <w:sz w:val="20"/>
          <w:szCs w:val="20"/>
        </w:rPr>
      </w:pPr>
      <w:r>
        <w:rPr>
          <w:rFonts w:ascii="Calibri" w:hAnsi="Calibri"/>
          <w:color w:val="000000"/>
          <w:sz w:val="24"/>
        </w:rPr>
        <w:t xml:space="preserve"> </w:t>
      </w:r>
      <w:r>
        <w:rPr>
          <w:rFonts w:ascii="Calibri" w:hAnsi="Calibri"/>
          <w:color w:val="000000"/>
          <w:sz w:val="20"/>
          <w:szCs w:val="20"/>
        </w:rPr>
        <w:t>NUMĂRUL: 000216305 2026 09427 001 000 000 001                                                     DATA: 06.03.2026</w:t>
      </w:r>
      <w:r>
        <w:rPr>
          <w:rFonts w:ascii="Calibri" w:hAnsi="Calibri"/>
          <w:color w:val="000000"/>
          <w:sz w:val="20"/>
          <w:szCs w:val="20"/>
        </w:rPr>
        <w:tab/>
        <w:t xml:space="preserve"> </w:t>
      </w:r>
    </w:p>
    <w:p w:rsidR="00512710" w:rsidRPr="00512710" w:rsidRDefault="00512710" w:rsidP="00512710">
      <w:pPr>
        <w:spacing w:after="0"/>
        <w:rPr>
          <w:rFonts w:ascii="Calibri" w:eastAsia="Calibri" w:hAnsi="Calibri" w:cs="Calibri"/>
          <w:color w:val="000000"/>
          <w:sz w:val="24"/>
          <w:lang w:val="sr-Cyrl-RS"/>
        </w:rPr>
      </w:pPr>
    </w:p>
    <w:p w:rsidR="00510EB2" w:rsidRDefault="00D67804" w:rsidP="00512710">
      <w:pPr>
        <w:spacing w:after="5" w:line="250" w:lineRule="auto"/>
        <w:ind w:left="-5" w:hanging="10"/>
        <w:jc w:val="both"/>
        <w:rPr>
          <w:rFonts w:ascii="Calibri" w:eastAsia="Calibri" w:hAnsi="Calibri" w:cs="Calibri"/>
          <w:color w:val="000000"/>
        </w:rPr>
      </w:pPr>
      <w:r>
        <w:rPr>
          <w:rFonts w:ascii="Calibri" w:hAnsi="Calibri"/>
          <w:color w:val="000000"/>
        </w:rPr>
        <w:t xml:space="preserve">          În baza articolului 8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9 Regulamentul</w:t>
      </w:r>
      <w:r>
        <w:rPr>
          <w:rFonts w:ascii="Calibri" w:hAnsi="Calibri"/>
          <w:b/>
          <w:bCs/>
          <w:color w:val="000000"/>
        </w:rPr>
        <w:t xml:space="preserve"> </w:t>
      </w:r>
      <w:r w:rsidRPr="004D077D">
        <w:rPr>
          <w:rFonts w:ascii="Calibri" w:hAnsi="Calibri"/>
          <w:bCs/>
          <w:color w:val="000000"/>
        </w:rPr>
        <w:t>privind repartizarea mijloacelor bugetare ale Secretariatului Provincial pentru Educaţie, Reglementări, Administraţie şi Minorităţile Naţionale- Comunităţile Naţionale pentru finanţarea şi cofinanţarea  proiectelor din domeniul ridicării calităţii procesului educativ-instructiv al învăţământului mediu– cheltuielile de transport organizat al elevilor şcolilor medii cu sediul în P.A. Voivodina la Târgul Educaţiei din Novi Sad, pentru anul 2026 („Buletinul oficial al P.A.V.”, nr.</w:t>
      </w:r>
      <w:r>
        <w:rPr>
          <w:rFonts w:ascii="Calibri" w:hAnsi="Calibri"/>
          <w:color w:val="000000"/>
        </w:rPr>
        <w:t xml:space="preserve"> 3/26 ), raportat la Hotărârea Adunării Provinciei privind bugetul Provinciei Autonome Voivodina pentru anul 2026 („Buletinul oficial al P.A.V.”, nr. 63/25), secretarul provincial pentru educaţie, reglementări, administraţie şi minorităţile naţionale– comunităţile naţionale   </w:t>
      </w:r>
    </w:p>
    <w:p w:rsidR="00512710" w:rsidRPr="0077211F" w:rsidRDefault="00512710" w:rsidP="00510EB2">
      <w:pPr>
        <w:spacing w:after="5" w:line="250" w:lineRule="auto"/>
        <w:ind w:left="-5" w:hanging="10"/>
        <w:jc w:val="both"/>
        <w:rPr>
          <w:rFonts w:ascii="Calibri" w:eastAsia="Calibri" w:hAnsi="Calibri" w:cs="Calibri"/>
          <w:color w:val="000000"/>
        </w:rPr>
      </w:pPr>
      <w:r>
        <w:rPr>
          <w:rFonts w:ascii="Calibri" w:hAnsi="Calibri"/>
          <w:color w:val="000000"/>
        </w:rPr>
        <w:t xml:space="preserve">emite </w:t>
      </w:r>
    </w:p>
    <w:p w:rsidR="00512710" w:rsidRPr="0077211F" w:rsidRDefault="00512710" w:rsidP="00E20E58">
      <w:pPr>
        <w:keepNext/>
        <w:keepLines/>
        <w:spacing w:after="0"/>
        <w:ind w:left="135" w:right="483" w:hanging="10"/>
        <w:jc w:val="center"/>
        <w:outlineLvl w:val="0"/>
        <w:rPr>
          <w:rFonts w:ascii="Calibri" w:eastAsia="Calibri" w:hAnsi="Calibri" w:cs="Calibri"/>
          <w:b/>
          <w:color w:val="000000"/>
        </w:rPr>
      </w:pPr>
      <w:r>
        <w:rPr>
          <w:rFonts w:ascii="Calibri" w:hAnsi="Calibri"/>
          <w:b/>
          <w:color w:val="000000"/>
        </w:rPr>
        <w:t>DECIZIA</w:t>
      </w:r>
    </w:p>
    <w:p w:rsidR="00512710" w:rsidRPr="0077211F" w:rsidRDefault="00512710" w:rsidP="00E20E58">
      <w:pPr>
        <w:spacing w:after="5" w:line="250" w:lineRule="auto"/>
        <w:ind w:left="315" w:right="354" w:hanging="10"/>
        <w:jc w:val="center"/>
        <w:rPr>
          <w:rFonts w:ascii="Calibri" w:eastAsia="Calibri" w:hAnsi="Calibri" w:cs="Calibri"/>
          <w:b/>
          <w:color w:val="000000"/>
        </w:rPr>
      </w:pPr>
      <w:r>
        <w:rPr>
          <w:rFonts w:ascii="Calibri" w:hAnsi="Calibri"/>
          <w:b/>
          <w:bCs/>
          <w:color w:val="000000"/>
        </w:rPr>
        <w:t>PRIVIND REPARTIZAREA MIJLOACELOR BUGETARE ALE SECRETARIATULUI PROVINCIAL PENTRU EDUCAŢIE, REGLEMENTĂRI, ADMINISTRAŢIE ŞI MINORITĂŢILE NAŢIONALE- COMUNITĂŢILE NAŢIONALE PENTRU FINANŢAREA ŞI COFINANŢAREA PROIECTELOR DIN DOMENIUL RIDICĂRII CALITĂŢII PROCESULUI EDUCATIV-INSTRUCTIV AL ÎNVĂŢĂMÂNTULUI MEDIU - CHELTUIELILE DE TRANSPORT ORGANIZAT AL ELEVILOR ŞCOLILOR MEDII CU SEDIUL ÎN P.A. VOIVODINA LA TÂRGUL EDUCAŢIEI „INDICATOARE” DIN NOVI SAD PENTRU ANUL 2026</w:t>
      </w:r>
      <w:r w:rsidR="004D077D">
        <w:rPr>
          <w:rFonts w:ascii="Calibri" w:hAnsi="Calibri"/>
          <w:b/>
          <w:color w:val="000000"/>
        </w:rPr>
        <w:t xml:space="preserve"> </w:t>
      </w:r>
    </w:p>
    <w:p w:rsidR="00512710" w:rsidRPr="0077211F" w:rsidRDefault="00512710" w:rsidP="00512710">
      <w:pPr>
        <w:spacing w:after="0"/>
        <w:ind w:right="308"/>
        <w:jc w:val="center"/>
        <w:rPr>
          <w:rFonts w:ascii="Calibri" w:eastAsia="Calibri" w:hAnsi="Calibri" w:cs="Calibri"/>
          <w:color w:val="000000"/>
        </w:rPr>
      </w:pPr>
      <w:r>
        <w:rPr>
          <w:rFonts w:ascii="Calibri" w:hAnsi="Calibri"/>
          <w:color w:val="000000"/>
        </w:rPr>
        <w:t xml:space="preserve"> </w:t>
      </w:r>
    </w:p>
    <w:p w:rsidR="00512710" w:rsidRPr="0077211F" w:rsidRDefault="00512710" w:rsidP="00512710">
      <w:pPr>
        <w:spacing w:after="0"/>
        <w:ind w:left="135" w:right="486" w:hanging="10"/>
        <w:jc w:val="center"/>
        <w:rPr>
          <w:rFonts w:ascii="Calibri" w:eastAsia="Calibri" w:hAnsi="Calibri" w:cs="Calibri"/>
          <w:color w:val="000000"/>
        </w:rPr>
      </w:pPr>
      <w:r>
        <w:rPr>
          <w:rFonts w:ascii="Calibri" w:hAnsi="Calibri"/>
          <w:color w:val="000000"/>
        </w:rPr>
        <w:t xml:space="preserve">I </w:t>
      </w:r>
    </w:p>
    <w:p w:rsidR="00512710" w:rsidRPr="0077211F" w:rsidRDefault="00512710" w:rsidP="00D67804">
      <w:pPr>
        <w:spacing w:after="5" w:line="250" w:lineRule="auto"/>
        <w:ind w:left="-15" w:right="354" w:firstLine="720"/>
        <w:jc w:val="both"/>
        <w:rPr>
          <w:rFonts w:ascii="Calibri" w:eastAsia="Calibri" w:hAnsi="Calibri" w:cs="Calibri"/>
          <w:color w:val="000000"/>
        </w:rPr>
      </w:pPr>
      <w:r>
        <w:rPr>
          <w:rFonts w:ascii="Calibri" w:hAnsi="Calibri"/>
          <w:color w:val="000000"/>
        </w:rPr>
        <w:t xml:space="preserve">Prin prezenta decizie se stabileşte repartizarea mijloacelor bugetare ale Secretariatului Provincial pentru Educaţie, Reglementări, Administraţie şi Minorităţile Naţionale – Comunităţile Naţionale (în continuare: Secretariatul) conform Concursului pentru finanţarea şi cofinanţarea proiectelor din domeniul ridicării calităţii procesului educativ-instructiv al învăţământului mediu - cheltuielile de transport organizat al elevilor şcolilor medii cu sediul în P.A. Voivodina la Târgul Educaţiei „Indicatoare” din Novi Sad, pentru anul 2026, numărul 000216305 2026 09427 001 000 000 001  din 26.01.2026 (în continuare: Concursul).  </w:t>
      </w:r>
    </w:p>
    <w:p w:rsidR="00512710" w:rsidRPr="0077211F" w:rsidRDefault="00512710" w:rsidP="00512710">
      <w:pPr>
        <w:keepNext/>
        <w:keepLines/>
        <w:spacing w:after="0"/>
        <w:ind w:left="135" w:right="486" w:hanging="10"/>
        <w:jc w:val="center"/>
        <w:outlineLvl w:val="0"/>
        <w:rPr>
          <w:rFonts w:ascii="Calibri" w:eastAsia="Calibri" w:hAnsi="Calibri" w:cs="Calibri"/>
          <w:color w:val="000000"/>
        </w:rPr>
      </w:pPr>
      <w:r>
        <w:rPr>
          <w:rFonts w:ascii="Calibri" w:hAnsi="Calibri"/>
          <w:color w:val="000000"/>
        </w:rPr>
        <w:t xml:space="preserve">II </w:t>
      </w:r>
    </w:p>
    <w:p w:rsidR="00512710" w:rsidRPr="0077211F" w:rsidRDefault="00512710" w:rsidP="00512710">
      <w:pPr>
        <w:spacing w:after="5" w:line="250" w:lineRule="auto"/>
        <w:ind w:left="-15" w:right="354" w:firstLine="720"/>
        <w:jc w:val="both"/>
        <w:rPr>
          <w:rFonts w:ascii="Calibri" w:eastAsia="Calibri" w:hAnsi="Calibri" w:cs="Calibri"/>
          <w:color w:val="000000"/>
        </w:rPr>
      </w:pPr>
      <w:r>
        <w:rPr>
          <w:rFonts w:ascii="Calibri" w:hAnsi="Calibri"/>
          <w:color w:val="000000"/>
        </w:rPr>
        <w:t xml:space="preserve">Mijloacele destinate conform Concursului sunt de 1.500.000,00 dinari, iar prin prezenta decizie se face repartizarea mijloacelor în cuantum de 1.492.890,00 dinari.  </w:t>
      </w:r>
    </w:p>
    <w:p w:rsidR="00512710" w:rsidRPr="0077211F" w:rsidRDefault="00512710" w:rsidP="00D67804">
      <w:pPr>
        <w:spacing w:after="5" w:line="250" w:lineRule="auto"/>
        <w:ind w:left="-15" w:right="354" w:firstLine="720"/>
        <w:jc w:val="both"/>
        <w:rPr>
          <w:rFonts w:ascii="Calibri" w:eastAsia="Calibri" w:hAnsi="Calibri" w:cs="Calibri"/>
          <w:color w:val="000000"/>
        </w:rPr>
      </w:pPr>
      <w:r>
        <w:rPr>
          <w:rFonts w:ascii="Calibri" w:hAnsi="Calibri"/>
          <w:color w:val="000000"/>
        </w:rPr>
        <w:t xml:space="preserve">Mijloacele se aprobă şcolilor medii cu sediul pe teritoriul P.A Voivodina, care cu scopul ridicării calităţii instrucţiei şi educaţiei medii, vor vizita în mod organizat Târgul Educaţiei „Indicatoare” din Novi Sad, în conformitate cu tabela anexată care este parte integrantă a prezentei decizii. </w:t>
      </w:r>
    </w:p>
    <w:p w:rsidR="00D67804" w:rsidRPr="0077211F" w:rsidRDefault="00D67804" w:rsidP="00D67804">
      <w:pPr>
        <w:spacing w:after="5" w:line="250" w:lineRule="auto"/>
        <w:ind w:left="-15" w:right="354" w:firstLine="720"/>
        <w:jc w:val="both"/>
        <w:rPr>
          <w:rFonts w:ascii="Calibri" w:eastAsia="Calibri" w:hAnsi="Calibri" w:cs="Calibri"/>
          <w:color w:val="000000"/>
          <w:lang w:val="sr-Cyrl-RS"/>
        </w:rPr>
      </w:pPr>
    </w:p>
    <w:p w:rsidR="00512710" w:rsidRPr="0077211F" w:rsidRDefault="00512710" w:rsidP="00512710">
      <w:pPr>
        <w:keepNext/>
        <w:keepLines/>
        <w:spacing w:after="0"/>
        <w:ind w:left="135" w:right="477" w:hanging="10"/>
        <w:jc w:val="center"/>
        <w:outlineLvl w:val="0"/>
        <w:rPr>
          <w:rFonts w:ascii="Calibri" w:eastAsia="Calibri" w:hAnsi="Calibri" w:cs="Calibri"/>
          <w:color w:val="000000"/>
        </w:rPr>
      </w:pPr>
      <w:r>
        <w:rPr>
          <w:rFonts w:ascii="Calibri" w:hAnsi="Calibri"/>
          <w:color w:val="000000"/>
        </w:rPr>
        <w:lastRenderedPageBreak/>
        <w:t xml:space="preserve">III </w:t>
      </w:r>
    </w:p>
    <w:p w:rsidR="00512710" w:rsidRPr="0077211F" w:rsidRDefault="00512710" w:rsidP="00D67804">
      <w:pPr>
        <w:spacing w:after="5" w:line="250" w:lineRule="auto"/>
        <w:ind w:left="-5" w:right="461" w:hanging="10"/>
        <w:jc w:val="both"/>
        <w:rPr>
          <w:rFonts w:ascii="Calibri" w:eastAsia="Calibri" w:hAnsi="Calibri" w:cs="Calibri"/>
          <w:color w:val="000000"/>
        </w:rPr>
      </w:pPr>
      <w:r>
        <w:rPr>
          <w:rFonts w:ascii="Calibri" w:hAnsi="Calibri"/>
          <w:color w:val="000000"/>
        </w:rPr>
        <w:t xml:space="preserve">Mijloacele prevăzute la punctul II al prezentei decizii sunt stabilite în baza Hotărârii Adunării Provinciei privind bugetul Provinciei Autonome Voivodina pentru anul 2026, în partea specială 06-Secretariatul Provincial pentru Educaţie, Reglementări, Administraţie şi Minorităţile Naţionale – Comunităţile Naţionale, Programul 2004 - Învăţământul mediu, Activitatea de program 1002 - Ridicarea calităţii învăţământului mediu, clasificarea funcţională 920, sursa de finanţare 01 00 - Venituri şi încasări generale ale bugetului, clasificarea economică 4631 - Transferuri curente altor niveluri ale puterii şi se transferă beneficiarilor în conformitate cu afluenţa mijloacelor în bugetul P.A. Voivodina, respectiv cu posibilităţile de lichiditate ale bugetului.  </w:t>
      </w:r>
    </w:p>
    <w:p w:rsidR="00512710" w:rsidRPr="0077211F" w:rsidRDefault="00512710" w:rsidP="00512710">
      <w:pPr>
        <w:keepNext/>
        <w:keepLines/>
        <w:spacing w:after="0"/>
        <w:ind w:left="135" w:right="474" w:hanging="10"/>
        <w:jc w:val="center"/>
        <w:outlineLvl w:val="0"/>
        <w:rPr>
          <w:rFonts w:ascii="Calibri" w:eastAsia="Calibri" w:hAnsi="Calibri" w:cs="Calibri"/>
          <w:color w:val="000000"/>
        </w:rPr>
      </w:pPr>
      <w:r>
        <w:rPr>
          <w:rFonts w:ascii="Calibri" w:hAnsi="Calibri"/>
          <w:color w:val="000000"/>
        </w:rPr>
        <w:t xml:space="preserve">IV </w:t>
      </w:r>
    </w:p>
    <w:p w:rsidR="00512710" w:rsidRPr="0077211F" w:rsidRDefault="00512710" w:rsidP="00512710">
      <w:pPr>
        <w:spacing w:after="5" w:line="250" w:lineRule="auto"/>
        <w:ind w:left="-5" w:right="354" w:hanging="10"/>
        <w:jc w:val="both"/>
        <w:rPr>
          <w:rFonts w:ascii="Calibri" w:eastAsia="Calibri" w:hAnsi="Calibri" w:cs="Calibri"/>
          <w:color w:val="000000"/>
        </w:rPr>
      </w:pPr>
      <w:r>
        <w:rPr>
          <w:rFonts w:ascii="Calibri" w:hAnsi="Calibri"/>
          <w:color w:val="000000"/>
        </w:rPr>
        <w:t xml:space="preserve"> Beneficiarii au obligaţia ca la realizarea destinaţiei pentru care au fost alocate mijloacele, să procedeze în conformitate cu dispoziţiile Legii privind achiziţiile publice. </w:t>
      </w:r>
    </w:p>
    <w:p w:rsidR="00512710" w:rsidRPr="0077211F" w:rsidRDefault="00512710" w:rsidP="00512710">
      <w:pPr>
        <w:spacing w:after="0"/>
        <w:ind w:right="413"/>
        <w:jc w:val="center"/>
        <w:rPr>
          <w:rFonts w:ascii="Calibri" w:eastAsia="Calibri" w:hAnsi="Calibri" w:cs="Calibri"/>
          <w:color w:val="000000"/>
        </w:rPr>
      </w:pPr>
      <w:r>
        <w:rPr>
          <w:rFonts w:ascii="Calibri" w:hAnsi="Calibri"/>
          <w:color w:val="000000"/>
        </w:rPr>
        <w:t xml:space="preserve"> </w:t>
      </w:r>
    </w:p>
    <w:p w:rsidR="00512710" w:rsidRPr="0077211F" w:rsidRDefault="00512710" w:rsidP="00512710">
      <w:pPr>
        <w:spacing w:after="0"/>
        <w:ind w:left="135" w:right="589" w:hanging="10"/>
        <w:jc w:val="center"/>
        <w:rPr>
          <w:rFonts w:ascii="Calibri" w:eastAsia="Calibri" w:hAnsi="Calibri" w:cs="Calibri"/>
          <w:color w:val="000000"/>
        </w:rPr>
      </w:pPr>
      <w:r>
        <w:rPr>
          <w:rFonts w:ascii="Calibri" w:hAnsi="Calibri"/>
          <w:color w:val="000000"/>
        </w:rPr>
        <w:t xml:space="preserve">V </w:t>
      </w:r>
    </w:p>
    <w:p w:rsidR="00510EB2" w:rsidRDefault="00512710" w:rsidP="00D67804">
      <w:pPr>
        <w:spacing w:after="5" w:line="250" w:lineRule="auto"/>
        <w:ind w:left="-5" w:right="354" w:hanging="10"/>
        <w:jc w:val="both"/>
        <w:rPr>
          <w:rFonts w:ascii="Calibri" w:eastAsia="Calibri" w:hAnsi="Calibri" w:cs="Calibri"/>
          <w:color w:val="000000"/>
        </w:rPr>
      </w:pPr>
      <w:r>
        <w:rPr>
          <w:rFonts w:ascii="Calibri" w:hAnsi="Calibri"/>
          <w:color w:val="000000"/>
        </w:rPr>
        <w:t xml:space="preserve"> Secretariatul va </w:t>
      </w:r>
      <w:r w:rsidRPr="004D077D">
        <w:rPr>
          <w:rFonts w:ascii="Calibri" w:hAnsi="Calibri"/>
          <w:bCs/>
          <w:color w:val="000000"/>
        </w:rPr>
        <w:t>înştiinţa beneficiarii</w:t>
      </w:r>
      <w:r>
        <w:rPr>
          <w:rFonts w:ascii="Calibri" w:hAnsi="Calibri"/>
          <w:color w:val="000000"/>
        </w:rPr>
        <w:t xml:space="preserve"> cu privire la repartizarea mijloacelor stabilită prin prezenta decizie.</w:t>
      </w:r>
    </w:p>
    <w:p w:rsidR="00512710" w:rsidRPr="0077211F" w:rsidRDefault="00512710" w:rsidP="00D67804">
      <w:pPr>
        <w:spacing w:after="5" w:line="250" w:lineRule="auto"/>
        <w:ind w:left="-5" w:right="354" w:hanging="10"/>
        <w:jc w:val="both"/>
        <w:rPr>
          <w:rFonts w:ascii="Calibri" w:eastAsia="Calibri" w:hAnsi="Calibri" w:cs="Calibri"/>
          <w:color w:val="000000"/>
        </w:rPr>
      </w:pPr>
      <w:r>
        <w:rPr>
          <w:rFonts w:ascii="Calibri" w:hAnsi="Calibri"/>
          <w:color w:val="000000"/>
        </w:rPr>
        <w:t xml:space="preserve">  </w:t>
      </w:r>
    </w:p>
    <w:p w:rsidR="00512710" w:rsidRPr="0077211F" w:rsidRDefault="00512710" w:rsidP="00512710">
      <w:pPr>
        <w:spacing w:after="0"/>
        <w:ind w:left="135" w:right="589" w:hanging="10"/>
        <w:jc w:val="center"/>
        <w:rPr>
          <w:rFonts w:ascii="Calibri" w:eastAsia="Calibri" w:hAnsi="Calibri" w:cs="Calibri"/>
          <w:color w:val="000000"/>
        </w:rPr>
      </w:pPr>
      <w:r>
        <w:rPr>
          <w:rFonts w:ascii="Calibri" w:hAnsi="Calibri"/>
          <w:color w:val="000000"/>
        </w:rPr>
        <w:t xml:space="preserve">VI </w:t>
      </w:r>
    </w:p>
    <w:p w:rsidR="00512710" w:rsidRPr="004D077D" w:rsidRDefault="00D67804" w:rsidP="00512710">
      <w:pPr>
        <w:tabs>
          <w:tab w:val="center" w:pos="4874"/>
        </w:tabs>
        <w:spacing w:after="5" w:line="250" w:lineRule="auto"/>
        <w:ind w:left="-15"/>
        <w:rPr>
          <w:rFonts w:ascii="Calibri" w:eastAsia="Calibri" w:hAnsi="Calibri" w:cs="Calibri"/>
          <w:color w:val="000000"/>
        </w:rPr>
      </w:pPr>
      <w:r>
        <w:rPr>
          <w:rFonts w:ascii="Calibri" w:hAnsi="Calibri"/>
          <w:color w:val="000000"/>
        </w:rPr>
        <w:t xml:space="preserve"> Secretariatul va prelua obligaţia faţă de beneficiari </w:t>
      </w:r>
      <w:r w:rsidRPr="004D077D">
        <w:rPr>
          <w:rFonts w:ascii="Calibri" w:hAnsi="Calibri"/>
          <w:bCs/>
          <w:color w:val="000000"/>
        </w:rPr>
        <w:t>în baza contractului în scris.</w:t>
      </w:r>
      <w:r w:rsidRPr="004D077D">
        <w:rPr>
          <w:rFonts w:ascii="Calibri" w:hAnsi="Calibri"/>
          <w:color w:val="000000"/>
        </w:rPr>
        <w:t xml:space="preserve">  </w:t>
      </w:r>
    </w:p>
    <w:p w:rsidR="00512710" w:rsidRPr="0077211F" w:rsidRDefault="00512710" w:rsidP="00512710">
      <w:pPr>
        <w:spacing w:after="0"/>
        <w:rPr>
          <w:rFonts w:ascii="Calibri" w:eastAsia="Calibri" w:hAnsi="Calibri" w:cs="Calibri"/>
          <w:color w:val="000000"/>
        </w:rPr>
      </w:pPr>
      <w:r>
        <w:rPr>
          <w:rFonts w:ascii="Calibri" w:hAnsi="Calibri"/>
          <w:color w:val="000000"/>
        </w:rPr>
        <w:t xml:space="preserve"> </w:t>
      </w:r>
    </w:p>
    <w:p w:rsidR="00512710" w:rsidRPr="0077211F" w:rsidRDefault="00512710" w:rsidP="00512710">
      <w:pPr>
        <w:spacing w:after="0"/>
        <w:ind w:left="135" w:right="589" w:hanging="10"/>
        <w:jc w:val="center"/>
        <w:rPr>
          <w:rFonts w:ascii="Calibri" w:eastAsia="Calibri" w:hAnsi="Calibri" w:cs="Calibri"/>
          <w:color w:val="000000"/>
        </w:rPr>
      </w:pPr>
      <w:r>
        <w:rPr>
          <w:rFonts w:ascii="Calibri" w:hAnsi="Calibri"/>
          <w:color w:val="000000"/>
        </w:rPr>
        <w:t xml:space="preserve">VII </w:t>
      </w:r>
    </w:p>
    <w:p w:rsidR="00512710" w:rsidRPr="0077211F" w:rsidRDefault="00D67804" w:rsidP="00512710">
      <w:pPr>
        <w:tabs>
          <w:tab w:val="center" w:pos="4770"/>
        </w:tabs>
        <w:spacing w:after="5" w:line="250" w:lineRule="auto"/>
        <w:ind w:left="-15"/>
        <w:rPr>
          <w:rFonts w:ascii="Calibri" w:eastAsia="Calibri" w:hAnsi="Calibri" w:cs="Calibri"/>
          <w:color w:val="000000"/>
        </w:rPr>
      </w:pPr>
      <w:r>
        <w:rPr>
          <w:rFonts w:ascii="Calibri" w:hAnsi="Calibri"/>
          <w:color w:val="000000"/>
        </w:rPr>
        <w:t xml:space="preserve"> Prezenta decizie este definitivă şi împotriva ei nu se poate depune cale de atac. </w:t>
      </w:r>
    </w:p>
    <w:p w:rsidR="00512710" w:rsidRPr="0077211F" w:rsidRDefault="00512710" w:rsidP="00512710">
      <w:pPr>
        <w:spacing w:after="0"/>
        <w:rPr>
          <w:rFonts w:ascii="Calibri" w:eastAsia="Calibri" w:hAnsi="Calibri" w:cs="Calibri"/>
          <w:color w:val="000000"/>
        </w:rPr>
      </w:pPr>
      <w:r>
        <w:rPr>
          <w:rFonts w:ascii="Calibri" w:hAnsi="Calibri"/>
          <w:color w:val="000000"/>
        </w:rPr>
        <w:t xml:space="preserve"> </w:t>
      </w:r>
    </w:p>
    <w:p w:rsidR="00512710" w:rsidRPr="0077211F" w:rsidRDefault="00512710" w:rsidP="00512710">
      <w:pPr>
        <w:keepNext/>
        <w:keepLines/>
        <w:spacing w:after="0"/>
        <w:ind w:left="135" w:right="484" w:hanging="10"/>
        <w:jc w:val="center"/>
        <w:outlineLvl w:val="0"/>
        <w:rPr>
          <w:rFonts w:ascii="Calibri" w:eastAsia="Calibri" w:hAnsi="Calibri" w:cs="Calibri"/>
          <w:color w:val="000000"/>
        </w:rPr>
      </w:pPr>
      <w:r>
        <w:rPr>
          <w:rFonts w:ascii="Calibri" w:hAnsi="Calibri"/>
          <w:color w:val="000000"/>
        </w:rPr>
        <w:t xml:space="preserve">VIII </w:t>
      </w:r>
    </w:p>
    <w:p w:rsidR="00512710" w:rsidRPr="0077211F" w:rsidRDefault="00512710" w:rsidP="00512710">
      <w:pPr>
        <w:spacing w:after="5" w:line="250" w:lineRule="auto"/>
        <w:ind w:left="-5" w:right="354" w:hanging="10"/>
        <w:jc w:val="both"/>
        <w:rPr>
          <w:rFonts w:ascii="Calibri" w:eastAsia="Calibri" w:hAnsi="Calibri" w:cs="Calibri"/>
          <w:color w:val="000000"/>
        </w:rPr>
      </w:pPr>
      <w:r>
        <w:rPr>
          <w:rFonts w:ascii="Calibri" w:hAnsi="Calibri"/>
          <w:color w:val="000000"/>
        </w:rPr>
        <w:t xml:space="preserve"> Pentru executarea prezentei decizii este responsabil Sectorul pentru activităţi material-financiare al Secretariatului. </w:t>
      </w:r>
    </w:p>
    <w:p w:rsidR="00512710" w:rsidRDefault="00512710" w:rsidP="00512710">
      <w:pPr>
        <w:spacing w:after="0"/>
        <w:rPr>
          <w:rFonts w:ascii="Calibri" w:eastAsia="Calibri" w:hAnsi="Calibri" w:cs="Calibri"/>
          <w:color w:val="000000"/>
        </w:rPr>
      </w:pPr>
      <w:r>
        <w:rPr>
          <w:rFonts w:ascii="Calibri" w:hAnsi="Calibri"/>
          <w:color w:val="000000"/>
        </w:rPr>
        <w:t xml:space="preserve"> </w:t>
      </w:r>
    </w:p>
    <w:p w:rsidR="00510EB2" w:rsidRPr="0077211F" w:rsidRDefault="00510EB2" w:rsidP="00512710">
      <w:pPr>
        <w:spacing w:after="0"/>
        <w:rPr>
          <w:rFonts w:ascii="Calibri" w:eastAsia="Calibri" w:hAnsi="Calibri" w:cs="Calibri"/>
          <w:color w:val="000000"/>
          <w:lang w:val="sr-Cyrl-RS"/>
        </w:rPr>
      </w:pPr>
    </w:p>
    <w:p w:rsidR="00512710" w:rsidRPr="0077211F" w:rsidRDefault="00512710" w:rsidP="00512710">
      <w:pPr>
        <w:spacing w:after="5" w:line="250" w:lineRule="auto"/>
        <w:ind w:left="-5" w:right="354" w:hanging="10"/>
        <w:jc w:val="both"/>
        <w:rPr>
          <w:rFonts w:ascii="Calibri" w:eastAsia="Calibri" w:hAnsi="Calibri" w:cs="Calibri"/>
          <w:color w:val="000000"/>
        </w:rPr>
      </w:pPr>
      <w:r>
        <w:rPr>
          <w:rFonts w:ascii="Calibri" w:hAnsi="Calibri"/>
          <w:color w:val="000000"/>
        </w:rPr>
        <w:t xml:space="preserve">Decizia se trimite: </w:t>
      </w:r>
    </w:p>
    <w:p w:rsidR="00512710" w:rsidRPr="0077211F" w:rsidRDefault="00512710" w:rsidP="00512710">
      <w:pPr>
        <w:numPr>
          <w:ilvl w:val="0"/>
          <w:numId w:val="1"/>
        </w:numPr>
        <w:spacing w:after="5" w:line="250" w:lineRule="auto"/>
        <w:ind w:right="354" w:hanging="360"/>
        <w:jc w:val="both"/>
        <w:rPr>
          <w:rFonts w:ascii="Calibri" w:eastAsia="Calibri" w:hAnsi="Calibri" w:cs="Calibri"/>
          <w:color w:val="000000"/>
        </w:rPr>
      </w:pPr>
      <w:r>
        <w:rPr>
          <w:rFonts w:ascii="Calibri" w:hAnsi="Calibri"/>
          <w:color w:val="000000"/>
        </w:rPr>
        <w:t>Sectorului pentru activităţi material-financiare al Secretariatului, și</w:t>
      </w:r>
    </w:p>
    <w:p w:rsidR="00512710" w:rsidRPr="0077211F" w:rsidRDefault="00512710" w:rsidP="00512710">
      <w:pPr>
        <w:numPr>
          <w:ilvl w:val="0"/>
          <w:numId w:val="1"/>
        </w:numPr>
        <w:spacing w:after="5" w:line="250" w:lineRule="auto"/>
        <w:ind w:right="354" w:hanging="360"/>
        <w:jc w:val="both"/>
        <w:rPr>
          <w:rFonts w:ascii="Calibri" w:eastAsia="Calibri" w:hAnsi="Calibri" w:cs="Calibri"/>
          <w:color w:val="000000"/>
        </w:rPr>
      </w:pPr>
      <w:r>
        <w:rPr>
          <w:rFonts w:ascii="Calibri" w:hAnsi="Calibri"/>
          <w:color w:val="000000"/>
        </w:rPr>
        <w:t xml:space="preserve">Arhivei </w:t>
      </w:r>
    </w:p>
    <w:p w:rsidR="00512710" w:rsidRDefault="00512710" w:rsidP="00512710">
      <w:pPr>
        <w:spacing w:after="0"/>
        <w:rPr>
          <w:rFonts w:ascii="Calibri" w:eastAsia="Calibri" w:hAnsi="Calibri" w:cs="Calibri"/>
          <w:color w:val="000000"/>
        </w:rPr>
      </w:pPr>
      <w:r>
        <w:rPr>
          <w:rFonts w:ascii="Calibri" w:hAnsi="Calibri"/>
          <w:color w:val="000000"/>
        </w:rPr>
        <w:t xml:space="preserve"> </w:t>
      </w:r>
    </w:p>
    <w:p w:rsidR="00510EB2" w:rsidRPr="0077211F" w:rsidRDefault="00510EB2" w:rsidP="00512710">
      <w:pPr>
        <w:spacing w:after="0"/>
        <w:rPr>
          <w:rFonts w:ascii="Calibri" w:eastAsia="Calibri" w:hAnsi="Calibri" w:cs="Calibri"/>
          <w:color w:val="000000"/>
          <w:lang w:val="sr-Cyrl-RS"/>
        </w:rPr>
      </w:pPr>
    </w:p>
    <w:p w:rsidR="00512710" w:rsidRPr="0077211F" w:rsidRDefault="00510EB2" w:rsidP="00512710">
      <w:pPr>
        <w:spacing w:after="57" w:line="250" w:lineRule="auto"/>
        <w:ind w:left="5704" w:right="354" w:hanging="10"/>
        <w:jc w:val="both"/>
        <w:rPr>
          <w:rFonts w:ascii="Calibri" w:eastAsia="Calibri" w:hAnsi="Calibri" w:cs="Calibri"/>
          <w:color w:val="000000"/>
        </w:rPr>
      </w:pPr>
      <w:r>
        <w:rPr>
          <w:rFonts w:ascii="Calibri" w:hAnsi="Calibri"/>
          <w:color w:val="000000"/>
        </w:rPr>
        <w:t xml:space="preserve">         SECRETAR PROVINCIAL </w:t>
      </w:r>
    </w:p>
    <w:p w:rsidR="00366679" w:rsidRPr="0077211F" w:rsidRDefault="00366679" w:rsidP="00366679">
      <w:pPr>
        <w:spacing w:after="0"/>
        <w:jc w:val="center"/>
      </w:pPr>
      <w:r>
        <w:t xml:space="preserve">                                                                                                       Róbert Ótott</w:t>
      </w:r>
    </w:p>
    <w:p w:rsidR="003E1520" w:rsidRDefault="003E1520" w:rsidP="00366679">
      <w:pPr>
        <w:spacing w:after="0"/>
        <w:jc w:val="center"/>
        <w:rPr>
          <w:lang w:val="sr-Cyrl-RS"/>
        </w:rPr>
      </w:pPr>
      <w:bookmarkStart w:id="0" w:name="_GoBack"/>
      <w:bookmarkEnd w:id="0"/>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Pr="00F335DD" w:rsidRDefault="003E1520" w:rsidP="003E1520">
      <w:pPr>
        <w:pStyle w:val="Default"/>
        <w:jc w:val="center"/>
        <w:rPr>
          <w:b/>
          <w:bCs/>
        </w:rPr>
      </w:pPr>
      <w:r>
        <w:rPr>
          <w:b/>
          <w:bCs/>
        </w:rPr>
        <w:lastRenderedPageBreak/>
        <w:t>DECIZIA PRIVIND REPARTIZAREA MIJLOACELOR BUGETARE ALE</w:t>
      </w:r>
    </w:p>
    <w:p w:rsidR="003E1520" w:rsidRDefault="003E1520" w:rsidP="003E1520">
      <w:pPr>
        <w:spacing w:after="0"/>
        <w:jc w:val="center"/>
        <w:rPr>
          <w:b/>
          <w:sz w:val="24"/>
          <w:szCs w:val="24"/>
        </w:rPr>
      </w:pPr>
      <w:r>
        <w:rPr>
          <w:b/>
          <w:bCs/>
          <w:sz w:val="24"/>
          <w:szCs w:val="24"/>
        </w:rPr>
        <w:t>SECRETARIATULUI PROVINCIAL PENTRU EDUCAŢIE, REGLEMENTĂRI, ADMINISTRAŢIE ŞI MINORITĂŢILE NAŢIONALE- COMUNITĂŢILE NAŢIONALE PENTRU FINANŢAREA ŞI COFINANŢAREA PROIECTELOR DIN DOMENIUL RIDICĂRII CALITĂŢII PROCESULUI EDUCATIV-INSTRUCTIV AL ÎNVĂŢĂMÂNTULUI MEDIU - CHELTUIELILE DE TRANSPORT ORGANIZAT AL ELEVILOR ŞCOLILOR MEDII CU SEDIUL ÎN P.A. VOIVODINA LA TÂRGUL EDUCAŢIEI „INDICATOARE” DIN NOVI SAD, PENTRU ANUL 2026</w:t>
      </w:r>
      <w:r>
        <w:rPr>
          <w:b/>
          <w:sz w:val="24"/>
          <w:szCs w:val="24"/>
        </w:rPr>
        <w:t xml:space="preserve"> .</w:t>
      </w:r>
    </w:p>
    <w:p w:rsidR="003E1520" w:rsidRDefault="003E1520" w:rsidP="003E1520">
      <w:pPr>
        <w:spacing w:after="0"/>
        <w:jc w:val="center"/>
        <w:rPr>
          <w:b/>
          <w:sz w:val="24"/>
          <w:szCs w:val="24"/>
          <w:lang w:val="sr-Cyrl-CS"/>
        </w:rPr>
      </w:pPr>
    </w:p>
    <w:tbl>
      <w:tblPr>
        <w:tblStyle w:val="TableGrid"/>
        <w:tblW w:w="0" w:type="auto"/>
        <w:tblLook w:val="04A0" w:firstRow="1" w:lastRow="0" w:firstColumn="1" w:lastColumn="0" w:noHBand="0" w:noVBand="1"/>
      </w:tblPr>
      <w:tblGrid>
        <w:gridCol w:w="2146"/>
        <w:gridCol w:w="2411"/>
        <w:gridCol w:w="2444"/>
        <w:gridCol w:w="2349"/>
      </w:tblGrid>
      <w:tr w:rsidR="003E1520" w:rsidRPr="00D17A67" w:rsidTr="00B909DF">
        <w:tc>
          <w:tcPr>
            <w:tcW w:w="2154" w:type="dxa"/>
            <w:shd w:val="clear" w:color="auto" w:fill="auto"/>
            <w:vAlign w:val="center"/>
          </w:tcPr>
          <w:p w:rsidR="003E1520" w:rsidRPr="00D17A67" w:rsidRDefault="003E1520" w:rsidP="0000220E">
            <w:pPr>
              <w:ind w:right="-766" w:firstLine="720"/>
              <w:rPr>
                <w:rFonts w:cstheme="minorHAnsi"/>
                <w:b/>
                <w:bCs/>
                <w:sz w:val="20"/>
                <w:szCs w:val="20"/>
              </w:rPr>
            </w:pPr>
            <w:r>
              <w:rPr>
                <w:b/>
                <w:bCs/>
                <w:sz w:val="20"/>
                <w:szCs w:val="20"/>
              </w:rPr>
              <w:t>Nr.crt.</w:t>
            </w:r>
          </w:p>
        </w:tc>
        <w:tc>
          <w:tcPr>
            <w:tcW w:w="2424" w:type="dxa"/>
            <w:shd w:val="clear" w:color="auto" w:fill="auto"/>
            <w:vAlign w:val="center"/>
          </w:tcPr>
          <w:p w:rsidR="003E1520" w:rsidRPr="00D17A67" w:rsidRDefault="003E1520" w:rsidP="00562423">
            <w:pPr>
              <w:rPr>
                <w:rFonts w:cstheme="minorHAnsi"/>
                <w:b/>
                <w:bCs/>
                <w:sz w:val="20"/>
                <w:szCs w:val="20"/>
              </w:rPr>
            </w:pPr>
            <w:r>
              <w:rPr>
                <w:b/>
                <w:bCs/>
                <w:sz w:val="20"/>
                <w:szCs w:val="20"/>
              </w:rPr>
              <w:t>Aplicant</w:t>
            </w:r>
          </w:p>
        </w:tc>
        <w:tc>
          <w:tcPr>
            <w:tcW w:w="2460" w:type="dxa"/>
            <w:shd w:val="clear" w:color="auto" w:fill="auto"/>
            <w:vAlign w:val="center"/>
          </w:tcPr>
          <w:p w:rsidR="003E1520" w:rsidRPr="00D17A67" w:rsidRDefault="003E1520" w:rsidP="00562423">
            <w:pPr>
              <w:rPr>
                <w:rFonts w:cstheme="minorHAnsi"/>
                <w:b/>
                <w:bCs/>
                <w:sz w:val="20"/>
                <w:szCs w:val="20"/>
              </w:rPr>
            </w:pPr>
            <w:r>
              <w:rPr>
                <w:b/>
                <w:bCs/>
                <w:sz w:val="20"/>
                <w:szCs w:val="20"/>
              </w:rPr>
              <w:t>Localitatea</w:t>
            </w:r>
          </w:p>
        </w:tc>
        <w:tc>
          <w:tcPr>
            <w:tcW w:w="2360" w:type="dxa"/>
            <w:shd w:val="clear" w:color="auto" w:fill="auto"/>
            <w:vAlign w:val="center"/>
          </w:tcPr>
          <w:p w:rsidR="003E1520" w:rsidRPr="00D17A67" w:rsidRDefault="00562423" w:rsidP="00562423">
            <w:pPr>
              <w:rPr>
                <w:rFonts w:cstheme="minorHAnsi"/>
                <w:b/>
                <w:bCs/>
                <w:sz w:val="20"/>
                <w:szCs w:val="20"/>
              </w:rPr>
            </w:pPr>
            <w:r>
              <w:rPr>
                <w:b/>
                <w:bCs/>
                <w:sz w:val="20"/>
                <w:szCs w:val="20"/>
              </w:rPr>
              <w:t>Mijloacele acordate</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Școala de Tehnică</w:t>
            </w:r>
          </w:p>
        </w:tc>
        <w:tc>
          <w:tcPr>
            <w:tcW w:w="2460" w:type="dxa"/>
            <w:shd w:val="clear" w:color="auto" w:fill="auto"/>
          </w:tcPr>
          <w:p w:rsidR="003E1520" w:rsidRPr="00D17A67" w:rsidRDefault="003E1520" w:rsidP="00B909DF">
            <w:r>
              <w:t>Ada</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Școala de Argicultură</w:t>
            </w:r>
          </w:p>
        </w:tc>
        <w:tc>
          <w:tcPr>
            <w:tcW w:w="2460" w:type="dxa"/>
            <w:shd w:val="clear" w:color="auto" w:fill="auto"/>
          </w:tcPr>
          <w:p w:rsidR="003E1520" w:rsidRPr="00D17A67" w:rsidRDefault="003E1520" w:rsidP="00B909DF">
            <w:r>
              <w:t>Bač</w:t>
            </w:r>
          </w:p>
        </w:tc>
        <w:tc>
          <w:tcPr>
            <w:tcW w:w="2360" w:type="dxa"/>
            <w:shd w:val="clear" w:color="auto" w:fill="auto"/>
          </w:tcPr>
          <w:p w:rsidR="003E1520" w:rsidRPr="00D17A67" w:rsidRDefault="003E1520" w:rsidP="00B909DF">
            <w:r>
              <w:t>56.400,00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de Tehnică „Šinković Jožef”</w:t>
            </w:r>
          </w:p>
        </w:tc>
        <w:tc>
          <w:tcPr>
            <w:tcW w:w="2460" w:type="dxa"/>
            <w:shd w:val="clear" w:color="auto" w:fill="auto"/>
          </w:tcPr>
          <w:p w:rsidR="003E1520" w:rsidRPr="00D17A67" w:rsidRDefault="003E1520" w:rsidP="00B909DF">
            <w:r>
              <w:t>Bačka Topola</w:t>
            </w:r>
          </w:p>
        </w:tc>
        <w:tc>
          <w:tcPr>
            <w:tcW w:w="2360" w:type="dxa"/>
            <w:shd w:val="clear" w:color="auto" w:fill="auto"/>
          </w:tcPr>
          <w:p w:rsidR="003E1520" w:rsidRPr="00D17A67" w:rsidRDefault="003E1520" w:rsidP="00B909DF">
            <w:r>
              <w:t>68.500,00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Economie-Comerţ</w:t>
            </w:r>
          </w:p>
        </w:tc>
        <w:tc>
          <w:tcPr>
            <w:tcW w:w="2460" w:type="dxa"/>
            <w:shd w:val="clear" w:color="auto" w:fill="auto"/>
          </w:tcPr>
          <w:p w:rsidR="003E1520" w:rsidRPr="00D17A67" w:rsidRDefault="003E1520" w:rsidP="00B909DF">
            <w:r>
              <w:t>Bečej</w:t>
            </w:r>
          </w:p>
        </w:tc>
        <w:tc>
          <w:tcPr>
            <w:tcW w:w="2360" w:type="dxa"/>
            <w:shd w:val="clear" w:color="auto" w:fill="auto"/>
          </w:tcPr>
          <w:p w:rsidR="003E1520" w:rsidRPr="00D17A67" w:rsidRDefault="003E1520" w:rsidP="00B909DF">
            <w:r>
              <w:t>65.000,00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Liceul</w:t>
            </w:r>
          </w:p>
        </w:tc>
        <w:tc>
          <w:tcPr>
            <w:tcW w:w="2460" w:type="dxa"/>
            <w:shd w:val="clear" w:color="auto" w:fill="auto"/>
          </w:tcPr>
          <w:p w:rsidR="003E1520" w:rsidRPr="00D17A67" w:rsidRDefault="003E1520" w:rsidP="00B909DF">
            <w:r>
              <w:t>Bečej</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Centrul Agro-Tehnic de Şcoli Medii „Besedeš Jožef”</w:t>
            </w:r>
          </w:p>
        </w:tc>
        <w:tc>
          <w:tcPr>
            <w:tcW w:w="2460" w:type="dxa"/>
            <w:shd w:val="clear" w:color="auto" w:fill="auto"/>
          </w:tcPr>
          <w:p w:rsidR="003E1520" w:rsidRPr="00D17A67" w:rsidRDefault="003E1520" w:rsidP="00B909DF">
            <w:r>
              <w:t>Kanjiža</w:t>
            </w:r>
          </w:p>
        </w:tc>
        <w:tc>
          <w:tcPr>
            <w:tcW w:w="2360" w:type="dxa"/>
            <w:shd w:val="clear" w:color="auto" w:fill="auto"/>
          </w:tcPr>
          <w:p w:rsidR="003E1520" w:rsidRPr="00D17A67" w:rsidRDefault="003E1520" w:rsidP="00B909DF">
            <w:r>
              <w:t>49.500,00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Economie-Comerţ</w:t>
            </w:r>
          </w:p>
        </w:tc>
        <w:tc>
          <w:tcPr>
            <w:tcW w:w="2460" w:type="dxa"/>
            <w:shd w:val="clear" w:color="auto" w:fill="auto"/>
          </w:tcPr>
          <w:p w:rsidR="003E1520" w:rsidRPr="00D17A67" w:rsidRDefault="003E1520" w:rsidP="00B909DF">
            <w:r>
              <w:t>Kikinda</w:t>
            </w:r>
          </w:p>
        </w:tc>
        <w:tc>
          <w:tcPr>
            <w:tcW w:w="2360" w:type="dxa"/>
            <w:shd w:val="clear" w:color="auto" w:fill="auto"/>
          </w:tcPr>
          <w:p w:rsidR="003E1520" w:rsidRPr="00D17A67" w:rsidRDefault="003E1520" w:rsidP="00B909DF">
            <w:r>
              <w:t>49.500,00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Profesională „Miloš Crnjanski”</w:t>
            </w:r>
          </w:p>
        </w:tc>
        <w:tc>
          <w:tcPr>
            <w:tcW w:w="2460" w:type="dxa"/>
            <w:shd w:val="clear" w:color="auto" w:fill="auto"/>
          </w:tcPr>
          <w:p w:rsidR="003E1520" w:rsidRPr="00D17A67" w:rsidRDefault="003E1520" w:rsidP="00B909DF">
            <w:r>
              <w:t>Kikinda</w:t>
            </w:r>
          </w:p>
        </w:tc>
        <w:tc>
          <w:tcPr>
            <w:tcW w:w="2360" w:type="dxa"/>
            <w:shd w:val="clear" w:color="auto" w:fill="auto"/>
          </w:tcPr>
          <w:p w:rsidR="003E1520" w:rsidRPr="00D17A67" w:rsidRDefault="003E1520" w:rsidP="00B909DF">
            <w:r>
              <w:t>49.500,00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Liceul „Mihajlo Pupin”</w:t>
            </w:r>
          </w:p>
        </w:tc>
        <w:tc>
          <w:tcPr>
            <w:tcW w:w="2460" w:type="dxa"/>
            <w:shd w:val="clear" w:color="auto" w:fill="auto"/>
          </w:tcPr>
          <w:p w:rsidR="003E1520" w:rsidRPr="00D17A67" w:rsidRDefault="003E1520" w:rsidP="00B909DF">
            <w:r>
              <w:t>Kovačica</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Economie-Comerţ</w:t>
            </w:r>
          </w:p>
        </w:tc>
        <w:tc>
          <w:tcPr>
            <w:tcW w:w="2460" w:type="dxa"/>
            <w:shd w:val="clear" w:color="auto" w:fill="auto"/>
          </w:tcPr>
          <w:p w:rsidR="003E1520" w:rsidRPr="00D17A67" w:rsidRDefault="003E1520" w:rsidP="00B909DF">
            <w:r>
              <w:t>Kula</w:t>
            </w:r>
          </w:p>
        </w:tc>
        <w:tc>
          <w:tcPr>
            <w:tcW w:w="2360" w:type="dxa"/>
            <w:shd w:val="clear" w:color="auto" w:fill="auto"/>
          </w:tcPr>
          <w:p w:rsidR="003E1520" w:rsidRPr="00D17A67" w:rsidRDefault="003E1520" w:rsidP="00B909DF">
            <w:r>
              <w:t>42.900,00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Liceul şi Școala Profesională "Dositej Obradović”</w:t>
            </w:r>
          </w:p>
        </w:tc>
        <w:tc>
          <w:tcPr>
            <w:tcW w:w="2460" w:type="dxa"/>
            <w:shd w:val="clear" w:color="auto" w:fill="auto"/>
          </w:tcPr>
          <w:p w:rsidR="003E1520" w:rsidRPr="00D17A67" w:rsidRDefault="003E1520" w:rsidP="00B909DF">
            <w:r>
              <w:t>Novi Kneževac</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Tehnică "Milenko Verkić Neša”</w:t>
            </w:r>
          </w:p>
        </w:tc>
        <w:tc>
          <w:tcPr>
            <w:tcW w:w="2460" w:type="dxa"/>
            <w:shd w:val="clear" w:color="auto" w:fill="auto"/>
          </w:tcPr>
          <w:p w:rsidR="003E1520" w:rsidRPr="00D17A67" w:rsidRDefault="003E1520" w:rsidP="00B909DF">
            <w:r>
              <w:t>Pećinci</w:t>
            </w:r>
          </w:p>
        </w:tc>
        <w:tc>
          <w:tcPr>
            <w:tcW w:w="2360" w:type="dxa"/>
            <w:shd w:val="clear" w:color="auto" w:fill="auto"/>
          </w:tcPr>
          <w:p w:rsidR="003E1520" w:rsidRPr="00D17A67" w:rsidRDefault="003E1520" w:rsidP="00B909DF">
            <w:r>
              <w:t>38.940,00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Profesională „Branko Radičević“</w:t>
            </w:r>
          </w:p>
        </w:tc>
        <w:tc>
          <w:tcPr>
            <w:tcW w:w="2460" w:type="dxa"/>
            <w:shd w:val="clear" w:color="auto" w:fill="auto"/>
          </w:tcPr>
          <w:p w:rsidR="003E1520" w:rsidRPr="00D17A67" w:rsidRDefault="003E1520" w:rsidP="00B909DF">
            <w:r>
              <w:t>Ruma</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Economie și Comerţ</w:t>
            </w:r>
          </w:p>
        </w:tc>
        <w:tc>
          <w:tcPr>
            <w:tcW w:w="2460" w:type="dxa"/>
            <w:shd w:val="clear" w:color="auto" w:fill="auto"/>
          </w:tcPr>
          <w:p w:rsidR="003E1520" w:rsidRPr="00D17A67" w:rsidRDefault="003E1520" w:rsidP="00B909DF">
            <w:r>
              <w:t>Senta</w:t>
            </w:r>
          </w:p>
        </w:tc>
        <w:tc>
          <w:tcPr>
            <w:tcW w:w="2360" w:type="dxa"/>
            <w:shd w:val="clear" w:color="auto" w:fill="auto"/>
          </w:tcPr>
          <w:p w:rsidR="003E1520" w:rsidRPr="00D17A67" w:rsidRDefault="003E1520" w:rsidP="00B909DF">
            <w:r>
              <w:t>49.500,00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Liceul cu cămin de elevi pentru elevii talentaţi „Bolyai”</w:t>
            </w:r>
          </w:p>
        </w:tc>
        <w:tc>
          <w:tcPr>
            <w:tcW w:w="2460" w:type="dxa"/>
            <w:shd w:val="clear" w:color="auto" w:fill="auto"/>
          </w:tcPr>
          <w:p w:rsidR="003E1520" w:rsidRPr="00D17A67" w:rsidRDefault="003E1520" w:rsidP="00B909DF">
            <w:r>
              <w:t>Senta</w:t>
            </w:r>
          </w:p>
        </w:tc>
        <w:tc>
          <w:tcPr>
            <w:tcW w:w="2360" w:type="dxa"/>
            <w:shd w:val="clear" w:color="auto" w:fill="auto"/>
          </w:tcPr>
          <w:p w:rsidR="003E1520" w:rsidRPr="00D17A67" w:rsidRDefault="003E1520" w:rsidP="00B909DF">
            <w:r>
              <w:t>49.500,00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Liceul din Senta</w:t>
            </w:r>
          </w:p>
        </w:tc>
        <w:tc>
          <w:tcPr>
            <w:tcW w:w="2460" w:type="dxa"/>
            <w:shd w:val="clear" w:color="auto" w:fill="auto"/>
          </w:tcPr>
          <w:p w:rsidR="003E1520" w:rsidRPr="00D17A67" w:rsidRDefault="003E1520" w:rsidP="00B909DF">
            <w:r>
              <w:t>Senta</w:t>
            </w:r>
          </w:p>
        </w:tc>
        <w:tc>
          <w:tcPr>
            <w:tcW w:w="2360" w:type="dxa"/>
            <w:shd w:val="clear" w:color="auto" w:fill="auto"/>
          </w:tcPr>
          <w:p w:rsidR="003E1520" w:rsidRPr="00D17A67" w:rsidRDefault="003E1520" w:rsidP="00B909DF">
            <w:r>
              <w:t>69.300,00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Economie „9. maj”</w:t>
            </w:r>
          </w:p>
        </w:tc>
        <w:tc>
          <w:tcPr>
            <w:tcW w:w="2460" w:type="dxa"/>
            <w:shd w:val="clear" w:color="auto" w:fill="auto"/>
          </w:tcPr>
          <w:p w:rsidR="003E1520" w:rsidRPr="00D17A67" w:rsidRDefault="003E1520" w:rsidP="00B909DF">
            <w:r>
              <w:t>Sremska Mitrovica</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Economie şi Comerţ „Vuk Karadžić”</w:t>
            </w:r>
          </w:p>
        </w:tc>
        <w:tc>
          <w:tcPr>
            <w:tcW w:w="2460" w:type="dxa"/>
            <w:shd w:val="clear" w:color="auto" w:fill="auto"/>
          </w:tcPr>
          <w:p w:rsidR="003E1520" w:rsidRPr="00D17A67" w:rsidRDefault="003E1520" w:rsidP="00B909DF">
            <w:r>
              <w:t>Stara Pazova</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Școala de Tehnică</w:t>
            </w:r>
          </w:p>
        </w:tc>
        <w:tc>
          <w:tcPr>
            <w:tcW w:w="2460" w:type="dxa"/>
            <w:shd w:val="clear" w:color="auto" w:fill="auto"/>
          </w:tcPr>
          <w:p w:rsidR="003E1520" w:rsidRPr="00D17A67" w:rsidRDefault="003E1520" w:rsidP="00B909DF">
            <w:r>
              <w:t>Stara Pazova</w:t>
            </w:r>
          </w:p>
        </w:tc>
        <w:tc>
          <w:tcPr>
            <w:tcW w:w="2360" w:type="dxa"/>
            <w:shd w:val="clear" w:color="auto" w:fill="auto"/>
          </w:tcPr>
          <w:p w:rsidR="003E1520" w:rsidRPr="00D17A67" w:rsidRDefault="003E1520" w:rsidP="00B909DF">
            <w:r>
              <w:t>38.000,00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Liceul „Branko Radičević”</w:t>
            </w:r>
          </w:p>
        </w:tc>
        <w:tc>
          <w:tcPr>
            <w:tcW w:w="2460" w:type="dxa"/>
            <w:shd w:val="clear" w:color="auto" w:fill="auto"/>
          </w:tcPr>
          <w:p w:rsidR="003E1520" w:rsidRPr="00D17A67" w:rsidRDefault="003E1520" w:rsidP="00B909DF">
            <w:r>
              <w:t>Stara Pazova</w:t>
            </w:r>
          </w:p>
        </w:tc>
        <w:tc>
          <w:tcPr>
            <w:tcW w:w="2360" w:type="dxa"/>
            <w:shd w:val="clear" w:color="auto" w:fill="auto"/>
          </w:tcPr>
          <w:p w:rsidR="003E1520" w:rsidRPr="00D17A67" w:rsidRDefault="003E1520" w:rsidP="00B909DF">
            <w:r>
              <w:t>55.000,00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Chimie- Medicină</w:t>
            </w:r>
          </w:p>
        </w:tc>
        <w:tc>
          <w:tcPr>
            <w:tcW w:w="2460" w:type="dxa"/>
            <w:shd w:val="clear" w:color="auto" w:fill="auto"/>
          </w:tcPr>
          <w:p w:rsidR="003E1520" w:rsidRPr="00D17A67" w:rsidRDefault="003E1520" w:rsidP="00B909DF">
            <w:r>
              <w:t>Subotica</w:t>
            </w:r>
          </w:p>
        </w:tc>
        <w:tc>
          <w:tcPr>
            <w:tcW w:w="2360" w:type="dxa"/>
            <w:shd w:val="clear" w:color="auto" w:fill="auto"/>
          </w:tcPr>
          <w:p w:rsidR="003E1520" w:rsidRPr="00D17A67" w:rsidRDefault="003E1520" w:rsidP="00B909DF">
            <w:r>
              <w:t>53.000,00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de Tehnică „Ivan Sarić”</w:t>
            </w:r>
          </w:p>
        </w:tc>
        <w:tc>
          <w:tcPr>
            <w:tcW w:w="2460" w:type="dxa"/>
            <w:shd w:val="clear" w:color="auto" w:fill="auto"/>
          </w:tcPr>
          <w:p w:rsidR="003E1520" w:rsidRPr="00D17A67" w:rsidRDefault="003E1520" w:rsidP="00B909DF">
            <w:r>
              <w:t>Subotica</w:t>
            </w:r>
          </w:p>
        </w:tc>
        <w:tc>
          <w:tcPr>
            <w:tcW w:w="2360" w:type="dxa"/>
            <w:shd w:val="clear" w:color="auto" w:fill="auto"/>
          </w:tcPr>
          <w:p w:rsidR="003E1520" w:rsidRPr="00D17A67" w:rsidRDefault="003E1520" w:rsidP="00B909DF">
            <w:r>
              <w:t>53.000,00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de Economie „Bosa Milićević”</w:t>
            </w:r>
          </w:p>
        </w:tc>
        <w:tc>
          <w:tcPr>
            <w:tcW w:w="2460" w:type="dxa"/>
            <w:shd w:val="clear" w:color="auto" w:fill="auto"/>
          </w:tcPr>
          <w:p w:rsidR="003E1520" w:rsidRPr="00D17A67" w:rsidRDefault="003E1520" w:rsidP="00B909DF">
            <w:r>
              <w:t>Subotica</w:t>
            </w:r>
          </w:p>
        </w:tc>
        <w:tc>
          <w:tcPr>
            <w:tcW w:w="2360" w:type="dxa"/>
            <w:shd w:val="clear" w:color="auto" w:fill="auto"/>
          </w:tcPr>
          <w:p w:rsidR="003E1520" w:rsidRPr="00D17A67" w:rsidRDefault="003E1520" w:rsidP="00B909DF">
            <w:r>
              <w:t>53.000,00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de Medicină</w:t>
            </w:r>
          </w:p>
        </w:tc>
        <w:tc>
          <w:tcPr>
            <w:tcW w:w="2460" w:type="dxa"/>
            <w:shd w:val="clear" w:color="auto" w:fill="auto"/>
          </w:tcPr>
          <w:p w:rsidR="003E1520" w:rsidRPr="00D17A67" w:rsidRDefault="003E1520" w:rsidP="00B909DF">
            <w:r>
              <w:t>Subotica</w:t>
            </w:r>
          </w:p>
        </w:tc>
        <w:tc>
          <w:tcPr>
            <w:tcW w:w="2360" w:type="dxa"/>
            <w:shd w:val="clear" w:color="auto" w:fill="auto"/>
          </w:tcPr>
          <w:p w:rsidR="003E1520" w:rsidRPr="00D17A67" w:rsidRDefault="003E1520" w:rsidP="00B909DF">
            <w:r>
              <w:t>46.750,00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„Lukijan Mušicki”</w:t>
            </w:r>
          </w:p>
        </w:tc>
        <w:tc>
          <w:tcPr>
            <w:tcW w:w="2460" w:type="dxa"/>
            <w:shd w:val="clear" w:color="auto" w:fill="auto"/>
          </w:tcPr>
          <w:p w:rsidR="003E1520" w:rsidRPr="00D17A67" w:rsidRDefault="003E1520" w:rsidP="00B909DF">
            <w:r>
              <w:t>Temerin</w:t>
            </w:r>
          </w:p>
        </w:tc>
        <w:tc>
          <w:tcPr>
            <w:tcW w:w="2360" w:type="dxa"/>
            <w:shd w:val="clear" w:color="auto" w:fill="auto"/>
          </w:tcPr>
          <w:p w:rsidR="003E1520" w:rsidRPr="00D17A67" w:rsidRDefault="003E1520" w:rsidP="00B909DF">
            <w:r>
              <w:t>49.000,00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Medie de Tehnică „Mileva Marić”</w:t>
            </w:r>
          </w:p>
        </w:tc>
        <w:tc>
          <w:tcPr>
            <w:tcW w:w="2460" w:type="dxa"/>
            <w:shd w:val="clear" w:color="auto" w:fill="auto"/>
          </w:tcPr>
          <w:p w:rsidR="003E1520" w:rsidRPr="00D17A67" w:rsidRDefault="003E1520" w:rsidP="00B909DF">
            <w:r>
              <w:t>Titel</w:t>
            </w:r>
          </w:p>
        </w:tc>
        <w:tc>
          <w:tcPr>
            <w:tcW w:w="2360" w:type="dxa"/>
            <w:shd w:val="clear" w:color="auto" w:fill="auto"/>
          </w:tcPr>
          <w:p w:rsidR="003E1520" w:rsidRPr="00D17A67" w:rsidRDefault="003E1520" w:rsidP="00B909DF">
            <w:r>
              <w:t>42.000,00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 xml:space="preserve">Şcoala Medie de Chimie-Alimentară </w:t>
            </w:r>
          </w:p>
        </w:tc>
        <w:tc>
          <w:tcPr>
            <w:tcW w:w="2460" w:type="dxa"/>
            <w:shd w:val="clear" w:color="auto" w:fill="auto"/>
          </w:tcPr>
          <w:p w:rsidR="003E1520" w:rsidRPr="00D17A67" w:rsidRDefault="003E1520" w:rsidP="00B909DF">
            <w:r>
              <w:t>Čoka</w:t>
            </w:r>
          </w:p>
        </w:tc>
        <w:tc>
          <w:tcPr>
            <w:tcW w:w="2360" w:type="dxa"/>
            <w:shd w:val="clear" w:color="auto" w:fill="auto"/>
          </w:tcPr>
          <w:p w:rsidR="003E1520" w:rsidRPr="00D17A67" w:rsidRDefault="003E1520" w:rsidP="00B909DF">
            <w:r>
              <w:t>49.500,00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Școala de Tehnică</w:t>
            </w:r>
          </w:p>
        </w:tc>
        <w:tc>
          <w:tcPr>
            <w:tcW w:w="2460" w:type="dxa"/>
            <w:shd w:val="clear" w:color="auto" w:fill="auto"/>
          </w:tcPr>
          <w:p w:rsidR="003E1520" w:rsidRPr="00D17A67" w:rsidRDefault="003E1520" w:rsidP="00B909DF">
            <w:r>
              <w:t>Zrenianin</w:t>
            </w:r>
          </w:p>
        </w:tc>
        <w:tc>
          <w:tcPr>
            <w:tcW w:w="2360" w:type="dxa"/>
            <w:shd w:val="clear" w:color="auto" w:fill="auto"/>
          </w:tcPr>
          <w:p w:rsidR="003E1520" w:rsidRPr="00D17A67" w:rsidRDefault="003E1520" w:rsidP="00B909DF">
            <w:r>
              <w:t>35.000,00</w:t>
            </w:r>
          </w:p>
        </w:tc>
      </w:tr>
      <w:tr w:rsidR="003E1520" w:rsidRPr="00D17A67" w:rsidTr="00B909DF">
        <w:tc>
          <w:tcPr>
            <w:tcW w:w="2154" w:type="dxa"/>
            <w:shd w:val="clear" w:color="auto" w:fill="auto"/>
          </w:tcPr>
          <w:p w:rsidR="003E1520" w:rsidRPr="00D17A67" w:rsidRDefault="003E1520" w:rsidP="003E1520">
            <w:pPr>
              <w:pStyle w:val="ListParagraph"/>
              <w:numPr>
                <w:ilvl w:val="0"/>
                <w:numId w:val="2"/>
              </w:numPr>
              <w:ind w:left="0" w:firstLine="720"/>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r>
              <w:t>Şcoala Elementară şi Medie cu cămin de elevi „Petro Kuzmjak”</w:t>
            </w:r>
          </w:p>
        </w:tc>
        <w:tc>
          <w:tcPr>
            <w:tcW w:w="2460" w:type="dxa"/>
            <w:shd w:val="clear" w:color="auto" w:fill="auto"/>
          </w:tcPr>
          <w:p w:rsidR="003E1520" w:rsidRPr="00D17A67" w:rsidRDefault="003E1520" w:rsidP="00B909DF">
            <w:r>
              <w:t>Ruski Krstur</w:t>
            </w:r>
          </w:p>
        </w:tc>
        <w:tc>
          <w:tcPr>
            <w:tcW w:w="2360" w:type="dxa"/>
            <w:shd w:val="clear" w:color="auto" w:fill="auto"/>
          </w:tcPr>
          <w:p w:rsidR="003E1520" w:rsidRPr="00D17A67" w:rsidRDefault="003E1520" w:rsidP="00B909DF">
            <w:r>
              <w:t>45.100,00</w:t>
            </w:r>
          </w:p>
        </w:tc>
      </w:tr>
      <w:tr w:rsidR="003E1520" w:rsidRPr="00D17A67" w:rsidTr="00B909DF">
        <w:tc>
          <w:tcPr>
            <w:tcW w:w="2154" w:type="dxa"/>
            <w:shd w:val="clear" w:color="auto" w:fill="auto"/>
          </w:tcPr>
          <w:p w:rsidR="003E1520" w:rsidRPr="00D17A67" w:rsidRDefault="003E1520" w:rsidP="00B909DF">
            <w:pPr>
              <w:pStyle w:val="ListParagraph"/>
              <w:jc w:val="both"/>
              <w:rPr>
                <w:rFonts w:asciiTheme="minorHAnsi" w:hAnsiTheme="minorHAnsi" w:cstheme="minorHAnsi"/>
                <w:b/>
                <w:sz w:val="20"/>
                <w:szCs w:val="20"/>
              </w:rPr>
            </w:pPr>
          </w:p>
        </w:tc>
        <w:tc>
          <w:tcPr>
            <w:tcW w:w="2424" w:type="dxa"/>
            <w:shd w:val="clear" w:color="auto" w:fill="auto"/>
          </w:tcPr>
          <w:p w:rsidR="003E1520" w:rsidRPr="00D17A67" w:rsidRDefault="003E1520" w:rsidP="00B909DF"/>
        </w:tc>
        <w:tc>
          <w:tcPr>
            <w:tcW w:w="2460" w:type="dxa"/>
            <w:shd w:val="clear" w:color="auto" w:fill="auto"/>
          </w:tcPr>
          <w:p w:rsidR="003E1520" w:rsidRPr="00D17A67" w:rsidRDefault="003E1520" w:rsidP="00B909DF"/>
        </w:tc>
        <w:tc>
          <w:tcPr>
            <w:tcW w:w="2360" w:type="dxa"/>
            <w:shd w:val="clear" w:color="auto" w:fill="auto"/>
          </w:tcPr>
          <w:p w:rsidR="000704DE" w:rsidRPr="002549F0" w:rsidRDefault="003E1520" w:rsidP="00B909DF">
            <w:r>
              <w:t xml:space="preserve">Total: </w:t>
            </w:r>
            <w:r>
              <w:rPr>
                <w:b/>
              </w:rPr>
              <w:t>1.492.890,00</w:t>
            </w:r>
            <w:r>
              <w:t xml:space="preserve"> </w:t>
            </w:r>
          </w:p>
        </w:tc>
      </w:tr>
    </w:tbl>
    <w:p w:rsidR="003E1520" w:rsidRDefault="003E1520" w:rsidP="00366679">
      <w:pPr>
        <w:spacing w:after="0"/>
        <w:jc w:val="center"/>
        <w:rPr>
          <w:lang w:val="sr-Cyrl-RS"/>
        </w:rPr>
      </w:pPr>
    </w:p>
    <w:p w:rsidR="003E1520" w:rsidRDefault="003E1520" w:rsidP="00366679">
      <w:pPr>
        <w:spacing w:after="0"/>
        <w:jc w:val="center"/>
        <w:rPr>
          <w:lang w:val="sr-Cyrl-RS"/>
        </w:rPr>
      </w:pPr>
    </w:p>
    <w:p w:rsidR="003E1520" w:rsidRPr="0077211F" w:rsidRDefault="003E1520" w:rsidP="003E1520">
      <w:pPr>
        <w:spacing w:after="57" w:line="250" w:lineRule="auto"/>
        <w:ind w:left="5704" w:right="354" w:hanging="10"/>
        <w:jc w:val="both"/>
        <w:rPr>
          <w:rFonts w:ascii="Calibri" w:eastAsia="Calibri" w:hAnsi="Calibri" w:cs="Calibri"/>
          <w:color w:val="000000"/>
        </w:rPr>
      </w:pPr>
      <w:r>
        <w:rPr>
          <w:rFonts w:ascii="Calibri" w:hAnsi="Calibri"/>
          <w:color w:val="000000"/>
        </w:rPr>
        <w:t xml:space="preserve">SECRETAR PROVINCIAL </w:t>
      </w:r>
    </w:p>
    <w:p w:rsidR="003E1520" w:rsidRPr="0077211F" w:rsidRDefault="003E1520" w:rsidP="003E1520">
      <w:pPr>
        <w:spacing w:after="0"/>
        <w:jc w:val="center"/>
      </w:pPr>
      <w:r>
        <w:t xml:space="preserve">                                                                                                       Róbert Ótott</w:t>
      </w:r>
    </w:p>
    <w:p w:rsidR="003E1520" w:rsidRDefault="003E1520" w:rsidP="003E1520">
      <w:pPr>
        <w:spacing w:after="0"/>
        <w:jc w:val="center"/>
      </w:pPr>
      <w:r>
        <w:t xml:space="preserve">                                                                                                        </w:t>
      </w:r>
      <w:r>
        <w:rPr>
          <w:b/>
          <w:bCs/>
        </w:rPr>
        <w:t>.</w:t>
      </w:r>
    </w:p>
    <w:p w:rsidR="003E1520" w:rsidRPr="0077211F" w:rsidRDefault="003E1520" w:rsidP="00366679">
      <w:pPr>
        <w:spacing w:after="0"/>
        <w:jc w:val="center"/>
        <w:rPr>
          <w:lang w:val="sr-Cyrl-RS"/>
        </w:rPr>
      </w:pPr>
    </w:p>
    <w:sectPr w:rsidR="003E1520" w:rsidRPr="00772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F0A9E"/>
    <w:multiLevelType w:val="hybridMultilevel"/>
    <w:tmpl w:val="DF36B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B6F25"/>
    <w:multiLevelType w:val="hybridMultilevel"/>
    <w:tmpl w:val="72327A7E"/>
    <w:lvl w:ilvl="0" w:tplc="C29A49B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FC78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688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A5D6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8696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006C2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BC6B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DC908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10C2F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E2"/>
    <w:rsid w:val="0000220E"/>
    <w:rsid w:val="0006596F"/>
    <w:rsid w:val="000704DE"/>
    <w:rsid w:val="00330B71"/>
    <w:rsid w:val="00366679"/>
    <w:rsid w:val="003A34A6"/>
    <w:rsid w:val="003E1520"/>
    <w:rsid w:val="004A3104"/>
    <w:rsid w:val="004B2B48"/>
    <w:rsid w:val="004D077D"/>
    <w:rsid w:val="00504348"/>
    <w:rsid w:val="00510EB2"/>
    <w:rsid w:val="00512710"/>
    <w:rsid w:val="00562423"/>
    <w:rsid w:val="005D5793"/>
    <w:rsid w:val="00663FD2"/>
    <w:rsid w:val="0077211F"/>
    <w:rsid w:val="009D43A9"/>
    <w:rsid w:val="009E752B"/>
    <w:rsid w:val="00A430D0"/>
    <w:rsid w:val="00B33BE2"/>
    <w:rsid w:val="00B7173B"/>
    <w:rsid w:val="00C1794E"/>
    <w:rsid w:val="00D16F84"/>
    <w:rsid w:val="00D67804"/>
    <w:rsid w:val="00D9726D"/>
    <w:rsid w:val="00DF03C8"/>
    <w:rsid w:val="00E20E58"/>
    <w:rsid w:val="00E83F4A"/>
    <w:rsid w:val="00F5385D"/>
    <w:rsid w:val="00F9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1478"/>
  <w15:chartTrackingRefBased/>
  <w15:docId w15:val="{4D2F3878-1987-4920-AB47-0E457AE0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1520"/>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3E152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E1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Kukobat</dc:creator>
  <cp:keywords/>
  <dc:description/>
  <cp:lastModifiedBy>Florina Vinka</cp:lastModifiedBy>
  <cp:revision>3</cp:revision>
  <dcterms:created xsi:type="dcterms:W3CDTF">2026-03-09T08:08:00Z</dcterms:created>
  <dcterms:modified xsi:type="dcterms:W3CDTF">2026-03-09T08:22:00Z</dcterms:modified>
</cp:coreProperties>
</file>