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F9" w:rsidRPr="00C4311F" w:rsidRDefault="00C4311F" w:rsidP="003A35AE">
      <w:pPr>
        <w:spacing w:after="150"/>
        <w:jc w:val="both"/>
      </w:pPr>
      <w:r>
        <w:rPr>
          <w:color w:val="000000"/>
        </w:rPr>
        <w:t>Na temelju članka 85. stavka 21. Zakona o osnovama sustava obrazovanja i odgoja („Službeni glasnik RS“, broj: 88/17, 27/18 – dr. zakon, 10/19, 6/20, 129/21 i 92/23) i članka 17. stavka 4. i članka 24. Zakona o Vladi („Službeni glasnik RS”, broj: 55/05, 71/05 – ispravak, 101/07, 65/08, 16/11, 68/12 – US, 72/12, 7/14 – US, 44/14 i 30/18 – dr. zakon),</w:t>
      </w:r>
    </w:p>
    <w:p w:rsidR="00B730F9" w:rsidRPr="00C4311F" w:rsidRDefault="00C4311F">
      <w:pPr>
        <w:spacing w:after="150"/>
      </w:pPr>
      <w:r>
        <w:rPr>
          <w:color w:val="000000"/>
        </w:rPr>
        <w:t>Ministar prosvjete donosi</w:t>
      </w:r>
    </w:p>
    <w:p w:rsidR="00B730F9" w:rsidRPr="00C4311F" w:rsidRDefault="00C4311F">
      <w:pPr>
        <w:spacing w:after="225"/>
        <w:jc w:val="center"/>
      </w:pPr>
      <w:r>
        <w:rPr>
          <w:b/>
          <w:color w:val="000000"/>
        </w:rPr>
        <w:t>PRAVILNIK</w:t>
      </w:r>
    </w:p>
    <w:p w:rsidR="00B730F9" w:rsidRPr="00C4311F" w:rsidRDefault="00C4311F">
      <w:pPr>
        <w:spacing w:after="225"/>
        <w:jc w:val="center"/>
      </w:pPr>
      <w:r>
        <w:rPr>
          <w:b/>
          <w:color w:val="000000"/>
        </w:rPr>
        <w:t>o obavljanju društveno-korisnog, odnosno humanitarnog rada u ustanovama obrazovanja i odgoja</w:t>
      </w:r>
    </w:p>
    <w:p w:rsidR="00B730F9" w:rsidRDefault="00C4311F">
      <w:pPr>
        <w:spacing w:after="120"/>
        <w:jc w:val="center"/>
        <w:rPr>
          <w:color w:val="000000"/>
        </w:rPr>
      </w:pPr>
      <w:r>
        <w:rPr>
          <w:color w:val="000000"/>
        </w:rPr>
        <w:t>„Službeni glasnik RS“, broj 10 od 9. veljače 2024.</w:t>
      </w:r>
    </w:p>
    <w:p w:rsidR="00C12031" w:rsidRPr="00C4311F" w:rsidRDefault="00C12031">
      <w:pPr>
        <w:spacing w:after="120"/>
        <w:jc w:val="center"/>
      </w:pP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1.</w:t>
      </w:r>
    </w:p>
    <w:p w:rsidR="00B730F9" w:rsidRPr="00C4311F" w:rsidRDefault="00C4311F" w:rsidP="003A35AE">
      <w:pPr>
        <w:spacing w:after="150"/>
        <w:jc w:val="both"/>
      </w:pPr>
      <w:r>
        <w:rPr>
          <w:color w:val="000000"/>
        </w:rPr>
        <w:t>Ovim pravilnikom propisuju se detaljniji uvjeti, način, sadržaj, trajanje, mjesto i vrijeme obavljanja i druga pitanja od značaja za obavljanje društveno-korisnog, odnosno humanitarnog rada u ustanovama obrazovanja i odgoja.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2.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Društveno-koristan, odnosno humanitarni rad (u daljnjem tekstu: društveno-koristan rad), u smislu ovog pravilnika, obuhvaća aktivnosti čijim se ostvarivanjem razvija društveno odgovorno ponašanje učenika.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Društveno-koristan rad, u smislu ovog pravilnika, odnosi se na društveno-koristan i humanitarni rad koji škola planira godišnjim planom rada u okviru plana zaštite od nasilja i ostvaruje se radi uključivanja svih učenika u planiranje i realizaciju tog rada, kao i društveno-korisni i humanitarni rad koji se realizira u okviru pojačanog odgojnog rada.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3.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Aktivnosti društveno-korisnog rada predstavljaju sljedeće aktivnosti: humanitarne akcije; ekološke akcije uređenja škole, učionica, drugih prostorija, kao i školskog okruženja; akcije prikupljanja materijala za reciklažu; priprema, odnosno uređenje školskog prostora za održavanje školskih manifestacija, izložbi, gostovanja, sportskih i drugih natjecanja; posjeti ustanovama socijalne skrbi za smještaj djece i mladih, domovima starih i Crvenom križu; i druge aktivnosti koje doprinose razvoju empatije, tolerancije i unapređivanju odnosa utemeljenih na međusobnom uvažavanju i suradnji.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Prijedlog aktivnosti koje zaposlenici u ustanovama obrazovanja i odgoja mogu planirati i realizirati sukladno godišnjem planu zaštite od nasilja, kao i u okviru pojačanog odgojnog rada nalaze se u Prilogu, koji je otisnut uz ovaj pravilnik i čini njegov sastavni dio.</w:t>
      </w:r>
    </w:p>
    <w:p w:rsidR="00315D9E" w:rsidRDefault="00315D9E">
      <w:pPr>
        <w:spacing w:after="120"/>
        <w:jc w:val="center"/>
        <w:rPr>
          <w:b/>
          <w:color w:val="000000"/>
        </w:rPr>
      </w:pPr>
    </w:p>
    <w:p w:rsidR="00B730F9" w:rsidRPr="00C4311F" w:rsidRDefault="00C4311F">
      <w:pPr>
        <w:spacing w:after="120"/>
        <w:jc w:val="center"/>
      </w:pPr>
      <w:bookmarkStart w:id="0" w:name="_GoBack"/>
      <w:bookmarkEnd w:id="0"/>
      <w:r>
        <w:rPr>
          <w:b/>
          <w:color w:val="000000"/>
        </w:rPr>
        <w:lastRenderedPageBreak/>
        <w:t>Članak 4.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Sudjelovanjem učenika u planiranju i realizaciji aktivnosti društveno-korisnog rada koje zaposlenici u školama organiziraju, stvaraju se uvjeti za utvrđivanje ocjene iz vladanja i po toj osnovi, od drugog razreda osnovne škole i u svim razredima srednje škole.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5.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 xml:space="preserve">Društveno-koristan rad ima preventivnu funkciju i doprinosi razvijanju empatije, solidarnosti i suradnje, aktivizma, kao i osnovnih moralnih vrijednosti i uz unapređivanje </w:t>
      </w:r>
      <w:proofErr w:type="spellStart"/>
      <w:r>
        <w:rPr>
          <w:color w:val="000000"/>
        </w:rPr>
        <w:t>međupredmetne</w:t>
      </w:r>
      <w:proofErr w:type="spellEnd"/>
      <w:r>
        <w:rPr>
          <w:color w:val="000000"/>
        </w:rPr>
        <w:t xml:space="preserve"> kompetencije odgovorno sudjelovanje u demokratskom društvu, a sukladno referentnom okviru kompetencija za demokratsku kulturu Vijeća Europe (RODK).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Svrha društveno-korisnog rada je, pored ostalog, da učenici unaprijede kompetencije potrebne za odgovorno sudjelovanje u društvu, kao i da budu osnaženi poštivati i promovirati ljudska prava.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Planom zaštite od nasilja planiraju se aktivnosti društveno-korisnog rada u koje se uključuju učenici, zaposlenici i roditelji, odnosno drugi zakonski zastupnici (u daljnjem tekstu: roditelj), u okviru ustanove ili u suradnji s lokalnom zajednicom i drugim ustanovama.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 xml:space="preserve">Društveno-koristan rad mora biti organiziran </w:t>
      </w:r>
      <w:r w:rsidR="00C12031">
        <w:rPr>
          <w:color w:val="000000"/>
        </w:rPr>
        <w:t xml:space="preserve">tako </w:t>
      </w:r>
      <w:r>
        <w:rPr>
          <w:color w:val="000000"/>
        </w:rPr>
        <w:t xml:space="preserve">da ne </w:t>
      </w:r>
      <w:r w:rsidR="00C12031">
        <w:rPr>
          <w:color w:val="000000"/>
        </w:rPr>
        <w:t>ugrožava</w:t>
      </w:r>
      <w:r>
        <w:rPr>
          <w:color w:val="000000"/>
        </w:rPr>
        <w:t xml:space="preserve"> psihički i tjelesni integritet sudionika, sigurnost i zdravlje.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 xml:space="preserve">U situaciji kada se društveno-korisni rad planira za učenika koji nastavu pohađa po individualnom obrazovnom planu, uzima se u obzir i mišljenje tima za </w:t>
      </w:r>
      <w:proofErr w:type="spellStart"/>
      <w:r>
        <w:rPr>
          <w:color w:val="000000"/>
        </w:rPr>
        <w:t>inkluzivno</w:t>
      </w:r>
      <w:proofErr w:type="spellEnd"/>
      <w:r>
        <w:rPr>
          <w:color w:val="000000"/>
        </w:rPr>
        <w:t xml:space="preserve"> obrazovanje.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6.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 xml:space="preserve">Kada se društveno-koristan rad koristi kao jedna od aktivnosti pojačanog odgojnog rada, predstavlja oblik </w:t>
      </w:r>
      <w:proofErr w:type="spellStart"/>
      <w:r>
        <w:rPr>
          <w:color w:val="000000"/>
        </w:rPr>
        <w:t>restorativne</w:t>
      </w:r>
      <w:proofErr w:type="spellEnd"/>
      <w:r>
        <w:rPr>
          <w:color w:val="000000"/>
        </w:rPr>
        <w:t xml:space="preserve"> discipline.</w:t>
      </w:r>
    </w:p>
    <w:p w:rsidR="00B730F9" w:rsidRPr="00C4311F" w:rsidRDefault="00C4311F" w:rsidP="00C12031">
      <w:pPr>
        <w:spacing w:after="150"/>
        <w:jc w:val="both"/>
      </w:pPr>
      <w:proofErr w:type="spellStart"/>
      <w:r>
        <w:rPr>
          <w:color w:val="000000"/>
        </w:rPr>
        <w:t>Restorativna</w:t>
      </w:r>
      <w:proofErr w:type="spellEnd"/>
      <w:r>
        <w:rPr>
          <w:color w:val="000000"/>
        </w:rPr>
        <w:t xml:space="preserve"> disciplina je pristup kojim se omogućava umanjivanje ili otklanjanje počinjene štete, odnosno posljedica te štete, razvija svijest o odgovornosti i posljedicama vlastitog i ponašanja drugih i popravljaju odnosi uključenih strana.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Kada se koristi u okviru pojačanog odgojnog rada cilj određivanja društveno-korisnog rada u školama, koji se ostvaruje sukladno ovom pravilniku, je prevencija nepoželjnog i društveno neprihvatljivog ponašanja učenika kroz razvoj poželjnih i pozitivnih oblika ponašanja.</w:t>
      </w:r>
    </w:p>
    <w:p w:rsidR="00B730F9" w:rsidRDefault="00C4311F" w:rsidP="00C12031">
      <w:pPr>
        <w:spacing w:after="150"/>
        <w:jc w:val="both"/>
        <w:rPr>
          <w:color w:val="000000"/>
        </w:rPr>
      </w:pPr>
      <w:r>
        <w:rPr>
          <w:color w:val="000000"/>
        </w:rPr>
        <w:t xml:space="preserve">Nastavnik, odnosno stručni suradnik u školi, za razvijanje poželjnih/pozitivnih oblika ponašanja učenika i konstruktivno rješavanje konflikata primjenjuje savjetodavni rad, tehniku dijaloga, </w:t>
      </w:r>
      <w:proofErr w:type="spellStart"/>
      <w:r>
        <w:rPr>
          <w:color w:val="000000"/>
        </w:rPr>
        <w:t>radioničarski</w:t>
      </w:r>
      <w:proofErr w:type="spellEnd"/>
      <w:r>
        <w:rPr>
          <w:color w:val="000000"/>
        </w:rPr>
        <w:t xml:space="preserve"> rad, postupak školske medijacije, uključuje vršnjačku medijaciju i drugo.</w:t>
      </w:r>
    </w:p>
    <w:p w:rsidR="00C12031" w:rsidRPr="00C4311F" w:rsidRDefault="00C12031" w:rsidP="00C12031">
      <w:pPr>
        <w:spacing w:after="150"/>
        <w:jc w:val="both"/>
      </w:pP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lastRenderedPageBreak/>
        <w:t>Članak 7.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Društveno-koristan rad se planira i realizira u okviru pojačanog odgojnog rada učenika za počinjenu lakšu i težu povredu obveza učenika, kao i povreda zabrane uređene zakonom kojim se uređuju osnove sustava obrazovanja i odgoja, a vodeći računa o psihofizičkoj i zdravstvenoj sposobnosti, dobi i dostojanstvu učenika.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U situaciji povrede zabrane ili teže povrede obveza učenika, kada se izrađuje plan pojačanog odgojnog rada za učenika, tim za z</w:t>
      </w:r>
      <w:r w:rsidR="00C12031">
        <w:rPr>
          <w:color w:val="000000"/>
        </w:rPr>
        <w:t>aštitu u suradnji s roditeljima</w:t>
      </w:r>
      <w:r>
        <w:rPr>
          <w:color w:val="000000"/>
        </w:rPr>
        <w:t xml:space="preserve"> određuje aktivnosti društveno-korisnog rada za učenika.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U situacijama lakše povrede obveza učenika i prve razine vršnjačkog nasilja, kada se planiraju aktivnosti pojačanog odgojnog rada za učenika, razrednik u suradnji s roditeljima određuje aktivnosti društveno-korisnog rada za učenika.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Roditelj je dužan aktivno sudjelovati u ostvarivanju plana pojačanog odgojnog rada, kao i realizaciji društveno-korisnog rada.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Roditelj je odgovoran ako učenik odbije sudjelovati u realizaciji aktivnosti društveno-korisnog rada, sukladno zakonu.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8.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Ustanova planira aktivnosti sukladno svojim potrebama, specifičnostima, mogućnostima, uvjetima i ciljevima, samostalno ili u suradnji s relevantnim institucijama, organizacijama, lokalnom zajednicom i sl.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Zaposleni</w:t>
      </w:r>
      <w:r w:rsidR="003A35AE">
        <w:rPr>
          <w:color w:val="000000"/>
        </w:rPr>
        <w:t>ci u školama planiraju i realizira</w:t>
      </w:r>
      <w:r>
        <w:rPr>
          <w:color w:val="000000"/>
        </w:rPr>
        <w:t>ju aktivnosti društveno-korisnog rada zajedno s učenicima, uz uključivanje roditelja. Neophodno je da se u planiranje aktivnosti uključuju i roditelji učenika.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9.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Društveno-koristan rad ostvaruje se u prostorijama škole pod nadzorom nastavnika, sukladno procjeni uz sudjelovanje roditelja, ravnatelja, odnosno stručnog suradnika ili izvan prostorija škole u suradnji s nadležnim centrom za socijalni rad i drugim relevantnim ustanovama/institucijama.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Aktivnosti društveno-korisnog rada se mogu organizirati i ostvarivati u skupini, odjelu, razredu, odnosno klasi u okviru škole, kao i u drugoj ustanovi, samostalno ili uz potporu vršnjaka, zaposlenika u ustanovi, ravnatelja, roditelja i dr.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10.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U okviru pojačanog odgojnog rada, prilikom planiranja aktivnosti društveno-korisnog rada potrebno je uzeti u obzir osobitosti učenika i vrstu povrede koja je izvršena.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Planirane aktivnosti ne smiju ugrožavati dostojanstvo, psihički i tjelesni integritet učenika, sigurnost i zdravlje.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lastRenderedPageBreak/>
        <w:t>Aktivnosti moraju biti primjerene dobi i u smisleno-logičkoj vezi s počinjenom povredom obveza učenika, odnosno povredom zabrane.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Odabrana aktivnost društveno-korisnog rada treba imati za svrhu razvoj vrijednosnog sustava učenika koji je izvršio nasilje i realizacija te aktivnosti ne smije dovoditi do viktimizacije osobe koja je pretrpjela nasilje.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11.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Za društveno-koristan rad propisuje se vremensko razdoblje/dinamika, način ostvarivanja, praćenja i izvještavanja o ostvarivanju i učincima aktivnosti u okviru plana pojačanog odgojnog rada.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Prilikom određivanja aktivnosti društveno-korisnog rada</w:t>
      </w:r>
      <w:r w:rsidR="00C12031">
        <w:rPr>
          <w:color w:val="000000"/>
        </w:rPr>
        <w:t>,</w:t>
      </w:r>
      <w:r>
        <w:rPr>
          <w:color w:val="000000"/>
        </w:rPr>
        <w:t xml:space="preserve"> u okviru pojačanog odgojnog rada</w:t>
      </w:r>
      <w:r w:rsidR="00C12031">
        <w:rPr>
          <w:color w:val="000000"/>
        </w:rPr>
        <w:t>,</w:t>
      </w:r>
      <w:r>
        <w:rPr>
          <w:color w:val="000000"/>
        </w:rPr>
        <w:t xml:space="preserve"> određuje se trajanje te aktivnosti, učestalost i vremensko razdoblje/dinamika, uzimajući u obzir </w:t>
      </w:r>
      <w:r w:rsidR="00C12031">
        <w:rPr>
          <w:color w:val="000000"/>
        </w:rPr>
        <w:t>osobine</w:t>
      </w:r>
      <w:r>
        <w:rPr>
          <w:color w:val="000000"/>
        </w:rPr>
        <w:t xml:space="preserve"> učenika, njegovu dob i optimalno vrijeme za kvalitetno i djelotvorno ostvarivanje aktivnosti.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Preporučeno trajanje aktivnosti je od 30 do 60 minuta i dinamika ostvarivanja određuje se sukladno značajkama aktivnosti i planu pojačanog odgojnog rada (preporučeno je da aktivnosti budu organizirane do četiri puta tjedno tijekom četiri tjedna).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12.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Evidentiranje i evaluacija učinaka društveno-korisnog rada se obavlja prilikom utvrđivanja ocjena učenika iz vladanja od drugog razreda osnovne škole, tijekom i na kraju polugodišta, kao i u okviru izvješća o pojačanom odgojnom radu učenika i izvješća o realizaciji godišnjeg plana rada u okviru plana zaštite od nasilja.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13.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Danom stupanja na snagu ovog pravilnika prestaje vrijediti Pravilnik o obavljanju društveno-korisnog, odnosno humanitarnog rada („Službeni glasnik RS”, broj: 68/18).</w:t>
      </w:r>
    </w:p>
    <w:p w:rsidR="00B730F9" w:rsidRPr="00C4311F" w:rsidRDefault="00C4311F">
      <w:pPr>
        <w:spacing w:after="120"/>
        <w:jc w:val="center"/>
      </w:pPr>
      <w:r>
        <w:rPr>
          <w:b/>
          <w:color w:val="000000"/>
        </w:rPr>
        <w:t>Članak 14.</w:t>
      </w:r>
    </w:p>
    <w:p w:rsidR="00B730F9" w:rsidRPr="00C4311F" w:rsidRDefault="00C4311F" w:rsidP="00C12031">
      <w:pPr>
        <w:spacing w:after="150"/>
        <w:jc w:val="both"/>
      </w:pPr>
      <w:r>
        <w:rPr>
          <w:color w:val="000000"/>
        </w:rPr>
        <w:t>Ovaj pravilnik stupa na snagu osmog dana od dana objave u „Službenom glasniku Republike Srbije“.</w:t>
      </w:r>
    </w:p>
    <w:p w:rsidR="00B730F9" w:rsidRPr="00C4311F" w:rsidRDefault="00C4311F">
      <w:pPr>
        <w:spacing w:after="150"/>
        <w:jc w:val="right"/>
      </w:pPr>
      <w:r>
        <w:rPr>
          <w:color w:val="000000"/>
        </w:rPr>
        <w:t>Klasa: 110-00-00247/2023-04</w:t>
      </w:r>
    </w:p>
    <w:p w:rsidR="00B730F9" w:rsidRPr="00C4311F" w:rsidRDefault="00C4311F">
      <w:pPr>
        <w:spacing w:after="150"/>
        <w:jc w:val="right"/>
      </w:pPr>
      <w:r>
        <w:rPr>
          <w:color w:val="000000"/>
        </w:rPr>
        <w:t>U Beogradu, 5. veljače 2024. godine</w:t>
      </w:r>
    </w:p>
    <w:p w:rsidR="00B730F9" w:rsidRPr="00C4311F" w:rsidRDefault="00C12031">
      <w:pPr>
        <w:spacing w:after="150"/>
        <w:jc w:val="right"/>
      </w:pPr>
      <w:r>
        <w:rPr>
          <w:color w:val="000000"/>
        </w:rPr>
        <w:t>Ministrica</w:t>
      </w:r>
      <w:r w:rsidR="00C4311F">
        <w:rPr>
          <w:color w:val="000000"/>
        </w:rPr>
        <w:t>,</w:t>
      </w:r>
    </w:p>
    <w:p w:rsidR="00B730F9" w:rsidRPr="00C4311F" w:rsidRDefault="00C4311F">
      <w:pPr>
        <w:spacing w:after="150"/>
        <w:jc w:val="right"/>
      </w:pPr>
      <w:r>
        <w:rPr>
          <w:color w:val="000000"/>
        </w:rPr>
        <w:t xml:space="preserve">prof. dr. </w:t>
      </w:r>
      <w:r>
        <w:rPr>
          <w:b/>
          <w:color w:val="000000"/>
        </w:rPr>
        <w:t xml:space="preserve">Slavica Đukić </w:t>
      </w:r>
      <w:proofErr w:type="spellStart"/>
      <w:r>
        <w:rPr>
          <w:b/>
          <w:color w:val="000000"/>
        </w:rPr>
        <w:t>Dejanović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v.r.</w:t>
      </w:r>
    </w:p>
    <w:p w:rsidR="00C12031" w:rsidRDefault="00C12031">
      <w:pPr>
        <w:spacing w:after="150"/>
        <w:jc w:val="right"/>
        <w:rPr>
          <w:color w:val="000000"/>
        </w:rPr>
      </w:pPr>
    </w:p>
    <w:p w:rsidR="00C12031" w:rsidRDefault="00C12031">
      <w:pPr>
        <w:spacing w:after="150"/>
        <w:jc w:val="right"/>
        <w:rPr>
          <w:color w:val="000000"/>
        </w:rPr>
      </w:pPr>
    </w:p>
    <w:p w:rsidR="00C12031" w:rsidRDefault="00C12031">
      <w:pPr>
        <w:spacing w:after="150"/>
        <w:jc w:val="right"/>
        <w:rPr>
          <w:color w:val="000000"/>
        </w:rPr>
      </w:pPr>
    </w:p>
    <w:p w:rsidR="00B730F9" w:rsidRDefault="00C4311F">
      <w:pPr>
        <w:spacing w:after="150"/>
        <w:jc w:val="right"/>
        <w:rPr>
          <w:color w:val="000000"/>
        </w:rPr>
      </w:pPr>
      <w:r>
        <w:rPr>
          <w:color w:val="000000"/>
        </w:rPr>
        <w:lastRenderedPageBreak/>
        <w:t>PRILOG</w:t>
      </w:r>
    </w:p>
    <w:p w:rsidR="00C12031" w:rsidRPr="00C4311F" w:rsidRDefault="00C12031">
      <w:pPr>
        <w:spacing w:after="150"/>
        <w:jc w:val="right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730F9" w:rsidRPr="00C4311F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B730F9" w:rsidRPr="00C4311F" w:rsidRDefault="00C4311F">
            <w:pPr>
              <w:spacing w:after="150"/>
            </w:pPr>
            <w:bookmarkStart w:id="1" w:name="table016"/>
            <w:r>
              <w:rPr>
                <w:color w:val="000000"/>
              </w:rPr>
              <w:t>PREGLED</w:t>
            </w:r>
          </w:p>
          <w:p w:rsidR="00B730F9" w:rsidRPr="00C4311F" w:rsidRDefault="00C4311F">
            <w:pPr>
              <w:spacing w:after="150"/>
            </w:pPr>
            <w:r>
              <w:rPr>
                <w:color w:val="000000"/>
              </w:rPr>
              <w:t>AKTIVNOSTI DRUŠTVENO-KORISNOG RADA, KOJE ZAPOSLENICI U USTANOVAMA OBRAZOVANJA I ODGOJA MOGU PLANIRATI I REALI</w:t>
            </w:r>
            <w:r w:rsidR="00C12031">
              <w:rPr>
                <w:color w:val="000000"/>
              </w:rPr>
              <w:t>ZIRATI SUKLADNO GODIŠNJEM PLANU</w:t>
            </w:r>
            <w:r>
              <w:rPr>
                <w:color w:val="000000"/>
              </w:rPr>
              <w:t xml:space="preserve"> ZAŠTITE OD NASILJA, KAO I U OKVIRU POJAČANOG ODGOJNOG RADA</w:t>
            </w:r>
          </w:p>
        </w:tc>
      </w:tr>
      <w:tr w:rsidR="00B730F9" w:rsidRPr="00C4311F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Organiziranje humanitarnih akcija za ranjive/osjetljive skupine (predstava, koncerata, manifestacija, izložbi, prikupljan</w:t>
            </w:r>
            <w:r w:rsidR="00C12031">
              <w:rPr>
                <w:color w:val="000000"/>
              </w:rPr>
              <w:t>ja priloga, igračaka i donacija</w:t>
            </w:r>
            <w:r w:rsidRPr="00C12031">
              <w:rPr>
                <w:color w:val="000000"/>
              </w:rPr>
              <w:t>, humanitarni sajmovi, sportske manifestacije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Organiziranje humanitarnih akcija za životinje (akcije hranjenja i udomljavanja napuštenih životinja, prikupljanje priloga, volontiranje u azilu za životinje, organiziranje manifestacija, sajmova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Posjeti ustanovama socijalne i zdravstvene skrbi i drugim ustanovama koje se bave humanitarnim radom (domovi za djecu bez roditeljske skrbi, domovi za stare osobe, dnevni boravci za djecu s poteškoćama u razvoju i invaliditetom i sl.) u cilju realizacije humanitarnih akcija ili društvenih aktivnosti;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Organiziranje ekoloških akcija, akcija zaštite okoliša i životinja, akcija reciklaže u ustanovi i u suradnji s lokalnom zajednicom ili relevantnim institucijama, organizacijama; obuke i predavanja na temu ekologije, zaštite okoliša i primarne reciklaže radi podizanja ekološke svijesti;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Uređenje prostora škole ili u lokalnoj zajednici – parkova, sportskih terena, dvorišta škole (sadnja drveća, cvijeća, postavljanje kućica za ptice u školskom dvorištu i gradskom parku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 xml:space="preserve">Organiziranje tematskih tribina, predavanja, okruglih stolova, radionica na različite teme (prevencije nasilja, mentalno zdravlje mladih, zdravi stilovi života, spolno prenosive bolesti, </w:t>
            </w:r>
            <w:proofErr w:type="spellStart"/>
            <w:r w:rsidRPr="00C12031">
              <w:rPr>
                <w:color w:val="000000"/>
              </w:rPr>
              <w:t>psihoaktivne</w:t>
            </w:r>
            <w:proofErr w:type="spellEnd"/>
            <w:r w:rsidRPr="00C12031">
              <w:rPr>
                <w:color w:val="000000"/>
              </w:rPr>
              <w:t xml:space="preserve"> tvari, zaštita od neželjene trudnoće, spolni odgoj, </w:t>
            </w:r>
            <w:proofErr w:type="spellStart"/>
            <w:r w:rsidRPr="00C12031">
              <w:rPr>
                <w:color w:val="000000"/>
              </w:rPr>
              <w:t>pandemijske</w:t>
            </w:r>
            <w:proofErr w:type="spellEnd"/>
            <w:r w:rsidRPr="00C12031">
              <w:rPr>
                <w:color w:val="000000"/>
              </w:rPr>
              <w:t xml:space="preserve"> bolesti i značaj higijene i dr.);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Aktivno uključivanje učenika u učeničke organizacije i timove (učenički parlament, vršnjački tim, tim za medijaciju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Formiranje učeničkih klubova koji bi se bavili volonterskim aktivnostima u okviru škole (</w:t>
            </w:r>
            <w:proofErr w:type="spellStart"/>
            <w:r w:rsidRPr="00C12031">
              <w:rPr>
                <w:color w:val="000000"/>
              </w:rPr>
              <w:t>međuvršnjačkom</w:t>
            </w:r>
            <w:proofErr w:type="spellEnd"/>
            <w:r w:rsidRPr="00C12031">
              <w:rPr>
                <w:color w:val="000000"/>
              </w:rPr>
              <w:t xml:space="preserve"> potporom, književni klubovi i dr.);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Uključivanje učenika u različite projektne/istraživačke aktivnosti škole (priprema prostora, materijala, promotivnog materijala, realizacija aktivnosti, prezentacija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Uključivanje učenika u organiziranim aktivnostima škole – vršnjačku potporu za učenje, u okviru dodatne i dopunske nastave, pripreme za završni ispit, potporu učenicima u učenju, potpora i produženom boravku (ako postoji u školi);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Uključivanje učenika u organizaciji i realizaciji različitih aktivnosti škole u cilju prevencije nasilja i diskriminacije (predavanja, radionice, Forum teatar, Živa knjižnica i dr.);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lastRenderedPageBreak/>
              <w:t>Kreiranje plana aktivnosti povodom obilježavanja značajnih dana/datuma tijekom školske godine (Međunarodni dan tolerancije, Međunarodni dan zaštite djece od nasilja, Svjetski dan mentalnog zdravlja, Dječji tjedan, Međunarodni dan djece, Međunarodni dan osoba s invaliditetom i sl.);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Uključivanje učenika u rad učeničke zadruge, ukoliko je ustanova osnovala istu</w:t>
            </w:r>
            <w:r w:rsidR="00C12031">
              <w:rPr>
                <w:color w:val="000000"/>
              </w:rPr>
              <w:t>,</w:t>
            </w:r>
            <w:r w:rsidRPr="00C12031">
              <w:rPr>
                <w:color w:val="000000"/>
              </w:rPr>
              <w:t xml:space="preserve"> i</w:t>
            </w:r>
          </w:p>
          <w:p w:rsidR="00B730F9" w:rsidRPr="00C4311F" w:rsidRDefault="00C4311F" w:rsidP="00C12031">
            <w:pPr>
              <w:pStyle w:val="ListParagraph"/>
              <w:numPr>
                <w:ilvl w:val="0"/>
                <w:numId w:val="1"/>
              </w:numPr>
              <w:spacing w:after="150"/>
              <w:jc w:val="both"/>
            </w:pPr>
            <w:r w:rsidRPr="00C12031">
              <w:rPr>
                <w:color w:val="000000"/>
              </w:rPr>
              <w:t>Druge aktivnosti društveno-korisnog rada u smislu ovog pravilnika.</w:t>
            </w:r>
          </w:p>
        </w:tc>
      </w:tr>
    </w:tbl>
    <w:bookmarkEnd w:id="1"/>
    <w:p w:rsidR="00B730F9" w:rsidRPr="00C4311F" w:rsidRDefault="00C4311F" w:rsidP="00C12031">
      <w:pPr>
        <w:pStyle w:val="ListParagraph"/>
        <w:spacing w:after="150"/>
        <w:jc w:val="both"/>
      </w:pPr>
      <w:r w:rsidRPr="00C12031">
        <w:rPr>
          <w:color w:val="000000"/>
        </w:rPr>
        <w:lastRenderedPageBreak/>
        <w:t xml:space="preserve">Napomena: Navedene aktivnosti se mogu kombinirati i proširivati planiranjem drugih aktivnosti sukladno specifičnostima, mogućnostima, potrebama i ciljevima škole, kao i općim aktima škole, a sve u cilju kreiranja </w:t>
      </w:r>
      <w:proofErr w:type="spellStart"/>
      <w:r w:rsidRPr="00C12031">
        <w:rPr>
          <w:color w:val="000000"/>
        </w:rPr>
        <w:t>prihvaćajućeg</w:t>
      </w:r>
      <w:proofErr w:type="spellEnd"/>
      <w:r w:rsidRPr="00C12031">
        <w:rPr>
          <w:color w:val="000000"/>
        </w:rPr>
        <w:t xml:space="preserve"> i tolerantnog okruženja, razvoja empatije i njegovanja odnosa međusobnog uvažavanja, suradnje i nenasilne komunikacije.</w:t>
      </w:r>
    </w:p>
    <w:sectPr w:rsidR="00B730F9" w:rsidRPr="00C431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523F"/>
    <w:multiLevelType w:val="hybridMultilevel"/>
    <w:tmpl w:val="F84C428E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A6FCA"/>
    <w:multiLevelType w:val="hybridMultilevel"/>
    <w:tmpl w:val="599E7984"/>
    <w:lvl w:ilvl="0" w:tplc="C382F040">
      <w:numFmt w:val="bullet"/>
      <w:lvlText w:val="–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0F9"/>
    <w:rsid w:val="00315D9E"/>
    <w:rsid w:val="003A35AE"/>
    <w:rsid w:val="009273C7"/>
    <w:rsid w:val="00B730F9"/>
    <w:rsid w:val="00C12031"/>
    <w:rsid w:val="00C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5AA12-B5CC-43FB-AD3A-086D8B22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ListParagraph">
    <w:name w:val="List Paragraph"/>
    <w:basedOn w:val="Normal"/>
    <w:uiPriority w:val="99"/>
    <w:rsid w:val="00C1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Hrvoje Kenjerić</cp:lastModifiedBy>
  <cp:revision>8</cp:revision>
  <dcterms:created xsi:type="dcterms:W3CDTF">2024-02-19T09:07:00Z</dcterms:created>
  <dcterms:modified xsi:type="dcterms:W3CDTF">2024-02-20T11:27:00Z</dcterms:modified>
</cp:coreProperties>
</file>