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4B" w:rsidRPr="00BC3837" w:rsidRDefault="00575BFF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sz w:val="24"/>
          <w:szCs w:val="24"/>
        </w:rPr>
        <w:t xml:space="preserve">Átvételre </w:t>
      </w:r>
      <w:proofErr w:type="gramStart"/>
      <w:r w:rsidRPr="00BC3837">
        <w:rPr>
          <w:rFonts w:ascii="Times New Roman" w:hAnsi="Times New Roman" w:cs="Times New Roman"/>
          <w:sz w:val="24"/>
          <w:szCs w:val="24"/>
        </w:rPr>
        <w:t>került</w:t>
      </w:r>
      <w:proofErr w:type="gramEnd"/>
      <w:r w:rsidRPr="00BC3837">
        <w:rPr>
          <w:rFonts w:ascii="Times New Roman" w:hAnsi="Times New Roman" w:cs="Times New Roman"/>
          <w:sz w:val="24"/>
          <w:szCs w:val="24"/>
        </w:rPr>
        <w:t xml:space="preserve"> az alábbi honlapról: </w:t>
      </w:r>
      <w:hyperlink>
        <w:r w:rsidRPr="00BC3837">
          <w:rPr>
            <w:rStyle w:val="Hyperlink"/>
            <w:rFonts w:ascii="Times New Roman" w:hAnsi="Times New Roman" w:cs="Times New Roman"/>
            <w:color w:val="337AB7"/>
            <w:sz w:val="24"/>
            <w:szCs w:val="24"/>
          </w:rPr>
          <w:t>www.pravno-informacioni-sistem.rs</w:t>
        </w:r>
      </w:hyperlink>
      <w:r w:rsidRPr="00BC3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4B" w:rsidRPr="00BC3837" w:rsidRDefault="00575BFF" w:rsidP="00BC383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Az oktatási és nevelési rendszer alapjairól szóló törvény (az SZK Hivatalos Közlönye, 88/17., 27/18. szám – más törvény, 10/19., 6/20., 129/21. és 92/23. szám) 85. szakaszának 21. bekezdése, valamint a Kormányról szóló törvény (az SZK Hivatalos Közlönye, 55/05., 71/05. szám – kiigazítás, 101/07., 65/08., 16/11., 68/12. szám – AB határozat, 72/12., 7/14. szám – AB határozat, 44/14. és 30/18. szám) 17. szakaszának 4. bekezdése és 24. szakasza alapján,</w:t>
      </w:r>
      <w:r w:rsidR="00BC3837">
        <w:rPr>
          <w:rFonts w:ascii="Times New Roman" w:hAnsi="Times New Roman" w:cs="Times New Roman"/>
          <w:sz w:val="24"/>
          <w:szCs w:val="24"/>
        </w:rPr>
        <w:t xml:space="preserve">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az oktatási miniszter</w:t>
      </w:r>
      <w:proofErr w:type="gramEnd"/>
    </w:p>
    <w:p w:rsidR="00BC3837" w:rsidRDefault="00575BFF" w:rsidP="00BC3837">
      <w:pPr>
        <w:spacing w:after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837">
        <w:rPr>
          <w:rFonts w:ascii="Times New Roman" w:hAnsi="Times New Roman" w:cs="Times New Roman"/>
          <w:b/>
          <w:color w:val="000000"/>
          <w:sz w:val="24"/>
          <w:szCs w:val="24"/>
        </w:rPr>
        <w:t>SZABÁLYZATOT</w:t>
      </w:r>
      <w:r w:rsidRPr="00BC383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hoz </w:t>
      </w:r>
    </w:p>
    <w:p w:rsidR="005D554B" w:rsidRPr="00BC3837" w:rsidRDefault="00575BFF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b/>
          <w:color w:val="000000"/>
          <w:sz w:val="24"/>
          <w:szCs w:val="24"/>
        </w:rPr>
        <w:t>A NEVELÉSI-OKTATÁSI INTÉZMÉNYEKBEN A TÁRSADALMILAG HASZNOS, ILLETVE HUMANITÁRIUS TEVÉKENYSÉGEK VÉGZÉSÉRŐL</w:t>
      </w:r>
    </w:p>
    <w:p w:rsidR="005D554B" w:rsidRPr="00BC3837" w:rsidRDefault="005D554B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gram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SZK Hivatalos Közlönye, 10. szám, 2024. február 9.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1. szakasz</w:t>
      </w:r>
    </w:p>
    <w:p w:rsidR="005D554B" w:rsidRPr="00BC3837" w:rsidRDefault="00575BFF" w:rsidP="00556FB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jelen Szabályzat előirányozza a nevelési-oktatási intézményekben a társadalmilag hasznos, illetve humanitárius tevékenységek végzésének részletesebb feltételeit, módját, tartalmát, időtartamát és egyéb fontos kérdéseit.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2. szakasz</w:t>
      </w:r>
    </w:p>
    <w:p w:rsidR="005D554B" w:rsidRPr="00BC3837" w:rsidRDefault="00575BFF" w:rsidP="00556FB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hasznos, illetve humanitárius tevékenység (a továbbiakban: társadalmilag hasznos tevékenység)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jelen Szabályzat értelmében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azokat a tevékenységeket foglalja magában, amelyek megvalósítása a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társadalmilag felelős magatartását erősíti.</w:t>
      </w:r>
    </w:p>
    <w:p w:rsidR="005D554B" w:rsidRPr="00BC3837" w:rsidRDefault="00575BFF" w:rsidP="00556FB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tevékenység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jelen Szabályzat értelmében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azokra a társadalmilag hasznos, illetve humanitárius tevékenységekre vonatkozik, amelyeket az iskola az éves munkatervvel az erőszakkal szembeni védelmet célzó terv keretén bel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ül megtervez, és valamennyi 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nak az </w:t>
      </w: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tevékenységek tervezésébe és végrehajtásába történő bevonásával kerül megvalósításra, továbbá felöleli a fokozott nevelőmunka keretében folytatott társadalmilag hasznos, illetve humanitárius tevékenységeket. 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3. szakasz</w:t>
      </w:r>
    </w:p>
    <w:p w:rsidR="005D554B" w:rsidRPr="00BC3837" w:rsidRDefault="00575BFF" w:rsidP="00556FB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munka az alábbi tevékenységeket foglalja magában: humanitárius akciók; iskolák, tantermek és egyéb helyiségek, valamint az iskolai környezet rendezésére irányuló ökológiai akciók; hulladékgyűjtési akciók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újrahasznosítási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célból; iskolai helyiségek előkészítése, illetve rendezése rendezvények, kiállítások, fogadások, sport- és egyéb versenyek megrendezése céljából; gyermek- és ifjúságvédelmi intézményekben, idősek otthonában és a Vöröskeresztben tett látogatások; egyéb olyan tevékenységek, amelyek hozzájárulnak az empátia és a tolerancia fejlesztéséhez, valamint a kölcsönös</w:t>
      </w:r>
      <w:proofErr w:type="gram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tiszteleten</w:t>
      </w:r>
      <w:proofErr w:type="gram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és együttműködésen alapuló kapcsolatok előmozdításához.</w:t>
      </w:r>
    </w:p>
    <w:p w:rsidR="005D554B" w:rsidRPr="00BC3837" w:rsidRDefault="00575BFF" w:rsidP="00556FB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Az azon tevékenységekre vonatkozó javaslatok, amelyeket a nevelési-oktatási intézmények foglalkoztatottjai </w:t>
      </w:r>
      <w:r w:rsidR="00556FB9"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az erőszakkal szembeni védelmet célzó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éves munkatervvel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összhangban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valamint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fokozott nevelőmunka keretén belül megtervezhetnek, a jelen Szabályzat mellé kinyomtatott Mellékletben találhatóak és annak szerves részét képezi</w:t>
      </w:r>
      <w:r w:rsidR="00556FB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4. szakasz</w:t>
      </w:r>
    </w:p>
    <w:p w:rsidR="005D554B" w:rsidRPr="00BC3837" w:rsidRDefault="0047659E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tanuló</w:t>
      </w:r>
      <w:r w:rsidR="00575BFF" w:rsidRPr="00BC3837">
        <w:rPr>
          <w:rFonts w:ascii="Times New Roman" w:hAnsi="Times New Roman" w:cs="Times New Roman"/>
          <w:color w:val="000000"/>
          <w:sz w:val="24"/>
          <w:szCs w:val="24"/>
        </w:rPr>
        <w:t>knak a foglalkoztatottak révén megszervezésre kerülő társadalmilag hasznos tevékenységek megtervezésében és megvalósításában való közreműködése által ily módon is megteremtődnek a magatartás értékelésé</w:t>
      </w:r>
      <w:r w:rsidR="00B96B91">
        <w:rPr>
          <w:rFonts w:ascii="Times New Roman" w:hAnsi="Times New Roman" w:cs="Times New Roman"/>
          <w:color w:val="000000"/>
          <w:sz w:val="24"/>
          <w:szCs w:val="24"/>
        </w:rPr>
        <w:t>hez szükséges feltételek</w:t>
      </w:r>
      <w:r w:rsidR="00575BFF" w:rsidRPr="00BC3837">
        <w:rPr>
          <w:rFonts w:ascii="Times New Roman" w:hAnsi="Times New Roman" w:cs="Times New Roman"/>
          <w:color w:val="000000"/>
          <w:sz w:val="24"/>
          <w:szCs w:val="24"/>
        </w:rPr>
        <w:t>, éspedig az általános iskolák második osztályától kezdődően, valamint a középiskolák valamennyi osztálya vonatkozásában.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5. szakasz</w:t>
      </w:r>
    </w:p>
    <w:p w:rsidR="005D554B" w:rsidRPr="00BC3837" w:rsidRDefault="00575BFF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tevékenységeknek megelőző szerepük van, </w:t>
      </w:r>
      <w:r w:rsidR="00B96B91">
        <w:rPr>
          <w:rFonts w:ascii="Times New Roman" w:hAnsi="Times New Roman" w:cs="Times New Roman"/>
          <w:color w:val="000000"/>
          <w:sz w:val="24"/>
          <w:szCs w:val="24"/>
        </w:rPr>
        <w:t>továbbá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hozzájárulnak az empátia, a kölcsönös segítségvállalás és együttműködés, az aktivizmus, valamint az alapvető erkölcsi értékek előmozdításához, </w:t>
      </w:r>
      <w:r w:rsidR="00B96B91">
        <w:rPr>
          <w:rFonts w:ascii="Times New Roman" w:hAnsi="Times New Roman" w:cs="Times New Roman"/>
          <w:color w:val="000000"/>
          <w:sz w:val="24"/>
          <w:szCs w:val="24"/>
        </w:rPr>
        <w:t>mindemellett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tantárgyközi kompetenciák fejlesztése révén hozzájárulnak a demokratikus államokban </w:t>
      </w:r>
      <w:r w:rsidR="00B96B91">
        <w:rPr>
          <w:rFonts w:ascii="Times New Roman" w:hAnsi="Times New Roman" w:cs="Times New Roman"/>
          <w:color w:val="000000"/>
          <w:sz w:val="24"/>
          <w:szCs w:val="24"/>
        </w:rPr>
        <w:t>jelenlévő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társadalmi felelősségvállaláshoz, éspedig az Európa Tanács által kidolgozott a Demokratikus kultúra kompetenciáinak referenciakeretével (DKKR) összhangban.</w:t>
      </w:r>
    </w:p>
    <w:p w:rsidR="005D554B" w:rsidRPr="00BC3837" w:rsidRDefault="00575BFF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munka célja, egyebek mellett az, hogy a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="0047659E" w:rsidRPr="00BC3837">
        <w:rPr>
          <w:rFonts w:ascii="Times New Roman" w:hAnsi="Times New Roman" w:cs="Times New Roman"/>
          <w:color w:val="000000"/>
          <w:sz w:val="24"/>
          <w:szCs w:val="24"/>
        </w:rPr>
        <w:t>knak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társadalmi felelősségvállaláshoz nélkülözhetetlen k</w:t>
      </w:r>
      <w:r w:rsidR="00B96B91">
        <w:rPr>
          <w:rFonts w:ascii="Times New Roman" w:hAnsi="Times New Roman" w:cs="Times New Roman"/>
          <w:color w:val="000000"/>
          <w:sz w:val="24"/>
          <w:szCs w:val="24"/>
        </w:rPr>
        <w:t>észségei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t előmozdítsa, továbbá megerősítse őket az emberi jogok tiszteletben tartásában és népszerűsítésében.</w:t>
      </w:r>
    </w:p>
    <w:p w:rsidR="005D554B" w:rsidRPr="00BC3837" w:rsidRDefault="00575BFF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Az erőszakkal szembeni védelmi tervvel azok a társadalmilag hasznos tevékenységek kerülnek megtervezésre, amelyekben a tanulók, a foglalkoztatottak és a szülők, illetve más törvényes képviselők (a továbbiakban: szülők) közreműködnek, az intézmény keretén belül vagy a helyi közösséggel és egyéb intézményekkel együttműködésben.</w:t>
      </w:r>
    </w:p>
    <w:p w:rsidR="005D554B" w:rsidRPr="00BC3837" w:rsidRDefault="00575BFF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tevékenységeket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olymódon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kell megszervezni, hogy azok nem veszélyeztethetik a résztvevők fizikai integritását, a biztonságot és az egészséget.</w:t>
      </w:r>
    </w:p>
    <w:p w:rsidR="005D554B" w:rsidRPr="00BC3837" w:rsidRDefault="00575BFF" w:rsidP="00B96B9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Amennyiben a társadalmilag hasznos tevékenység olyan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számára kerül megtervezésre, aki egyéni fejlesztési terv alapján vesz részt az oktatásban, az Inkluzív Oktatási Csapat véleményét is figyelembe kell venni.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6. szakasz</w:t>
      </w:r>
    </w:p>
    <w:p w:rsidR="005D554B" w:rsidRPr="00BC3837" w:rsidRDefault="00575BFF" w:rsidP="0097716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Ha a társadalmilag hasznos munkát a fokozott nevelőmunka egyik intézkedéseként alkalmazzák, abban az esetben a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resztoratív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(helyreállító) fegyelem egyik formáját képezi.</w:t>
      </w:r>
    </w:p>
    <w:p w:rsidR="005D554B" w:rsidRPr="00BC3837" w:rsidRDefault="00575BFF" w:rsidP="0097716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resztoratív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fegyelem olyan szemléletet képvisel, amely lehetővé teszi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 xml:space="preserve"> a bekövetkezett kár, illetve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kárkövetkezmények csökkentésé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 xml:space="preserve">t vagy elhárítását, fejleszti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saját és mások magatartásának következményeiről 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>kialakíto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tt </w:t>
      </w:r>
      <w:r w:rsidR="00977168" w:rsidRPr="00BC3837">
        <w:rPr>
          <w:rFonts w:ascii="Times New Roman" w:hAnsi="Times New Roman" w:cs="Times New Roman"/>
          <w:color w:val="000000"/>
          <w:sz w:val="24"/>
          <w:szCs w:val="24"/>
        </w:rPr>
        <w:t>felelősség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tudatot, továbbá javítja a bevont felek között fennálló kapcsolatokat.</w:t>
      </w:r>
    </w:p>
    <w:p w:rsidR="005D554B" w:rsidRPr="00BC3837" w:rsidRDefault="00575BFF" w:rsidP="0097716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Amennyiben a fokozott nevelőmunka keretében kerül alkalmazásra, a társadalmilag hasznos tevékenységnek a jelen Szabályzattal összhangban történő meghatározásának célja a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társadalmilag nem kívánt és nem elfogadott magatartás me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 xml:space="preserve">gelőzése, éspedig a kívánt és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pozitív 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>viselkedés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formák megerősítése által.</w:t>
      </w:r>
    </w:p>
    <w:p w:rsidR="005D554B" w:rsidRPr="00BC3837" w:rsidRDefault="00575BFF" w:rsidP="0097716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Az iskolában a tanár, illetve a szakmunkatárs a </w:t>
      </w:r>
      <w:r w:rsidR="00B250D4">
        <w:rPr>
          <w:rFonts w:ascii="Times New Roman" w:hAnsi="Times New Roman" w:cs="Times New Roman"/>
          <w:color w:val="000000"/>
          <w:sz w:val="24"/>
          <w:szCs w:val="24"/>
        </w:rPr>
        <w:t>tanulók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kívánt/pozitív magatartásformáinak fejlesztése, valamint a konfliktusok konstruktív megoldása érdekében tanácsadói munkát, párbeszédet, csoportmunkát, iskolai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mediációs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eljárást, kortárs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mediációt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és hasonlókat alkalmaz.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7. szakasz</w:t>
      </w:r>
    </w:p>
    <w:p w:rsidR="005D554B" w:rsidRPr="00BC3837" w:rsidRDefault="00575BFF" w:rsidP="0073007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fokozott nevelőmunka keretében a társadalmilag hasznos munka a tanulói kötelességek enyhébb vagy súlyosabb megsértése, valamint az oktatási és nevelési rendszer alapjairól szóló törvénnyel előirányzott tilalmak megszegése következményeként kerül megtervezésre és 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>végrehaj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tásra, kiemelt figyelmet szentelve a tanulók pszichofizikai képességére, egészségi állapotára, korára és méltóságára.</w:t>
      </w:r>
    </w:p>
    <w:p w:rsidR="005D554B" w:rsidRPr="00BC3837" w:rsidRDefault="00575BFF" w:rsidP="0073007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tilalmak megszegése vagy a tanulói kötelességek súlyosabb megsértése következményeként az adott diákra vonatkozó fokozott nevelőmunka tervének kidolgozásakor a Védelmi Csapat 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szülőkkel együttműködésben 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meghatározza a társadalmilag hasznos tevékenységeket az adott 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>diák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számára.</w:t>
      </w:r>
    </w:p>
    <w:p w:rsidR="005D554B" w:rsidRPr="00BC3837" w:rsidRDefault="00575BFF" w:rsidP="0073007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Azokban az esetekben, amikor a fokozott nevelőmunka intézkedései a tanulói kötelességek enyhébb megsértése, illetve első szintű kortárs erőszak elkövetése következményeként kerülnek megtervezésre, az osztályfőnök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 xml:space="preserve"> az, aki </w:t>
      </w:r>
      <w:r w:rsidR="0073007A" w:rsidRPr="00BC3837">
        <w:rPr>
          <w:rFonts w:ascii="Times New Roman" w:hAnsi="Times New Roman" w:cs="Times New Roman"/>
          <w:color w:val="000000"/>
          <w:sz w:val="24"/>
          <w:szCs w:val="24"/>
        </w:rPr>
        <w:t>a szülőkkel együttműködésben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a társadalmilag hasznos tevékenységeket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 xml:space="preserve"> meg</w:t>
      </w:r>
      <w:r w:rsidR="0073007A" w:rsidRPr="00BC3837">
        <w:rPr>
          <w:rFonts w:ascii="Times New Roman" w:hAnsi="Times New Roman" w:cs="Times New Roman"/>
          <w:color w:val="000000"/>
          <w:sz w:val="24"/>
          <w:szCs w:val="24"/>
        </w:rPr>
        <w:t>határozza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az adott diák</w:t>
      </w:r>
      <w:r w:rsidR="0073007A">
        <w:rPr>
          <w:rFonts w:ascii="Times New Roman" w:hAnsi="Times New Roman" w:cs="Times New Roman"/>
          <w:color w:val="000000"/>
          <w:sz w:val="24"/>
          <w:szCs w:val="24"/>
        </w:rPr>
        <w:t xml:space="preserve"> vonatkozásában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54B" w:rsidRPr="00BC3837" w:rsidRDefault="00575BFF" w:rsidP="0073007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szülő köteles aktívan részt venni a fokozott nevelőmunka tervének megvalósításában, ahogyan a társadalmilag hasznos munka végrehajtásában is.</w:t>
      </w:r>
    </w:p>
    <w:p w:rsidR="005D554B" w:rsidRPr="00BC3837" w:rsidRDefault="00575BFF" w:rsidP="0073007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szülő </w:t>
      </w:r>
      <w:r w:rsidR="00BE28D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 törvénnyel összhangban </w:t>
      </w:r>
      <w:r w:rsidR="00BE28D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felelősséggel tartozik, amennyiben a diák megtagadja a társadalmilag hasznos munka végrehajtásában való részvételét.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8. szakasz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Az intézmény a tevékenységeket saját igényeivel, sajátosságaival, lehetőségeivel, elvárásaival és céljaival összhangban tervezi meg, éspedig önállóan vagy a releváns intézményekkel, szervezetekkel, helyi közösség</w:t>
      </w:r>
      <w:r w:rsidR="00BE28D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el együttműködésben.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Az iskolai foglalkoztatottak a társadalmilag hasznos munkatevékenységeket a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kkal és a szülők bevonásával tervezik és valósítják meg. Elengedhetetlen, hogy a tevékenységek tervezésébe a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k szülei is bevonásra kerüljenek.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9. szakasz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társadalmilag hasznos munka az iskola helyiségeiben valósul meg, tanár felügyelete mellett, az értékeléssel összhangban és a szülők, az igazgató, illetve a szakmunkatárs</w:t>
      </w:r>
      <w:r w:rsidR="00BE28DE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részvételével, ugyanakkor megvalósulhat az iskola helyiségein kívül is, éspedig az illetékes szociális központtal és egyéb relevá</w:t>
      </w:r>
      <w:r w:rsidR="00BE28DE">
        <w:rPr>
          <w:rFonts w:ascii="Times New Roman" w:hAnsi="Times New Roman" w:cs="Times New Roman"/>
          <w:color w:val="000000"/>
          <w:sz w:val="24"/>
          <w:szCs w:val="24"/>
        </w:rPr>
        <w:t>ns intézményekkel együttműködés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ben.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munkatevékenységek megszervezhetők és végrehajthatók csoporton, tagozaton, osztályon, illetve évfolyamon belül, ugyanakkor másik intézmény keretében is,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önállóan vagy a kortársak, az iskolai foglalkoztatottak, az iskolaigazgató és a szülők támogatásával.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10. szakasz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fokozott nevelőmunka keretében a társadalmilag hasznos munkatevékenységek megtervezésekor tekintetbe kell venni a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>tanulók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jellemvonásait és a megszegett tilalmak vagy a megsértett tanulói kötelességek típusát.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tervezett tevékenységek nem veszélyeztethetik a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>tanulók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méltóságát, testi és szellemi sérthetetlenségét, a biztonságot és az egészséget.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tevékenységeknek a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>tanulók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életkorának megfelelőnek kell lenniük, valamint </w:t>
      </w:r>
      <w:r w:rsidR="00EE7B03" w:rsidRPr="00EE7B03">
        <w:rPr>
          <w:rFonts w:ascii="Times New Roman" w:hAnsi="Times New Roman" w:cs="Times New Roman"/>
          <w:color w:val="000000"/>
          <w:sz w:val="24"/>
          <w:szCs w:val="24"/>
        </w:rPr>
        <w:t>tartalmi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>logikai kapcsolatban kell állniuk a megsértett tanulói kötelességekkel, illetve a megszegett tilalmakkal.</w:t>
      </w:r>
    </w:p>
    <w:p w:rsidR="005D554B" w:rsidRPr="00BC3837" w:rsidRDefault="00575BFF" w:rsidP="00BE28D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kijelölt társadalmilag hasznos munkatevékenység célja az erőszakot elkövetett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 xml:space="preserve">tanuló értékrendjének fejlődése,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tevékenység megvalósítása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 xml:space="preserve">pedig 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nem vezethet az erőszakot elszenvedett személy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viktimizációjához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11. szakasz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fokozott nevelőmunka tervének keretében előirányzásra kerül a társadalmilag hasznos munka időtartama/ütemterve, megvalósításának módja, figyelemmel kísérése, továbbá a tevékenység megvalósításáról és hatásairól való jelentéstétel.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fokozott nevelőmunka tervének keretén belül a társadalmilag hasznos munkatevékenység meghatározásakor megállapításra kerül a tevékenység időhossza, gyakorisága és időtartama/ütemterve, figyelmet szentelve a </w:t>
      </w:r>
      <w:r w:rsidR="00EE7B03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sajátosságaira, életkorára, valamint a tevékenység minőségi és hatékony megvalósításának legkedvezőbb időpontjára.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tevékenység javasolt időtartama 30-60 perc, megvalósításának ütemét pedig a tevékenység sajátosságaival és a fokozott nevelőmunka tervével összhangban határozzák meg (ajánlott, hogy a tevékenységek négy héten keresztül legfeljebb heti négy alkalommal kerüljenek megszervezésre).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12. szakasz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A társadalmilag hasznos tevékenység hatásainak feljegyzését és értékelését a </w:t>
      </w:r>
      <w:r w:rsidR="0012508F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magatartásának a félév közben és végén történő értékelésekor végzik, éspedig az általános iskola második osztályától kezdődően, továbbá elvégzésre kerül a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tanuló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fokozott nevelőmunkájáról szóló jelentés és az erőszakkal szembeni védelem tervének keretén belüli éves munkaterv megvalósításáról szóló jelentés keretében. 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13. szakasz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A jelen Szabályzat hatálybalépésével a nevelési-oktatási intézményekben a társadalmilag hasznos, illetve humanitárius tevékenységek végzéséről szóló szabályzat (az SZK Hivatalos Közlönye, 68/18. szám) hatályát veszti.</w:t>
      </w:r>
    </w:p>
    <w:p w:rsidR="005D554B" w:rsidRPr="00BC3837" w:rsidRDefault="00575B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14. szakasz</w:t>
      </w:r>
    </w:p>
    <w:p w:rsidR="005D554B" w:rsidRPr="00BC3837" w:rsidRDefault="00575BFF" w:rsidP="00901FA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Jelen Szabályzat a Szerb Köztársaság Hivatalos Közlönyében való közzétételétől számított nyolcadik napon lép hatályba.</w:t>
      </w:r>
    </w:p>
    <w:p w:rsidR="005D554B" w:rsidRPr="00BC3837" w:rsidRDefault="00575BFF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Szám: 110-00-00247/2023-04</w:t>
      </w:r>
    </w:p>
    <w:p w:rsidR="005D554B" w:rsidRPr="00BC3837" w:rsidRDefault="00575BFF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Belgrád, 2024. február 5.</w:t>
      </w:r>
    </w:p>
    <w:p w:rsidR="005D554B" w:rsidRDefault="00575BFF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Slavica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Đukić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Dejanović</w:t>
      </w:r>
      <w:proofErr w:type="spellEnd"/>
      <w:r w:rsidRPr="00BC38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3110">
        <w:rPr>
          <w:rFonts w:ascii="Times New Roman" w:hAnsi="Times New Roman" w:cs="Times New Roman"/>
          <w:color w:val="000000"/>
          <w:sz w:val="24"/>
          <w:szCs w:val="24"/>
        </w:rPr>
        <w:t xml:space="preserve"> egyetemi tanár,</w:t>
      </w:r>
      <w:bookmarkStart w:id="0" w:name="_GoBack"/>
      <w:bookmarkEnd w:id="0"/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s. </w:t>
      </w: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k.</w:t>
      </w:r>
      <w:proofErr w:type="gramEnd"/>
    </w:p>
    <w:p w:rsidR="0012508F" w:rsidRPr="00BC3837" w:rsidRDefault="0012508F" w:rsidP="0012508F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3837">
        <w:rPr>
          <w:rFonts w:ascii="Times New Roman" w:hAnsi="Times New Roman" w:cs="Times New Roman"/>
          <w:color w:val="000000"/>
          <w:sz w:val="24"/>
          <w:szCs w:val="24"/>
        </w:rPr>
        <w:t>miniszter</w:t>
      </w:r>
      <w:proofErr w:type="gramEnd"/>
    </w:p>
    <w:p w:rsidR="0012508F" w:rsidRPr="00BC3837" w:rsidRDefault="0012508F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</w:p>
    <w:p w:rsidR="005D554B" w:rsidRPr="00BC3837" w:rsidRDefault="00575BFF" w:rsidP="0012508F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t>MELLÉKLET: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5D554B" w:rsidRPr="00BC3837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5D554B" w:rsidRPr="00BC3837" w:rsidRDefault="00575BFF" w:rsidP="0012508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table016"/>
            <w:r w:rsidRPr="00BC3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TÁRSADALMILAG HASZNOS MUNKATEVÉKENYSÉGEK ÁTTEKINTÉSE, AMELYEKET A NEVELÉSI-OKTATÁSI INTÉZMÉNYEK FOGLALKOZTATOTTJAI AZ ERŐSZAKKAL SZEMBENI VÉDELMET CÉLZÓ ÉVES TERVVEL ÖSSZHANGBAN, VALAMINT A FOKOZOTT NEVELŐMUNKA KERETÉN BELÜL MEGTERVEZHETNEK ÉS VÉGREHAJTHATNAK</w:t>
            </w:r>
          </w:p>
          <w:p w:rsidR="005D554B" w:rsidRPr="00BC3837" w:rsidRDefault="005D554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4B" w:rsidRPr="00BC3837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Humanitárius akciók szervezése a sérülékeny csoportok számára (előadások, koncertek, rendezvények, kiállítások, adomány- és játékgyűjtés, jótékonysági akciók, humanitárius vásárok, sportrendezvények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Humanitárius akciók szervezése állatok részére (elhagyott állatok etetése és befogadása, adománygyűjtés, állatmenhelyen való </w:t>
            </w:r>
            <w:proofErr w:type="spellStart"/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önkénteskedés</w:t>
            </w:r>
            <w:proofErr w:type="spellEnd"/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rendezvények és vásárok szervezése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Humanitárius akciók </w:t>
            </w:r>
            <w:r w:rsidR="00125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vagy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társadalmi tevékenységek megvalósításának céljából tett látogatások szociális és egészségügyi, illetve egyéb humanitárius segítségnyújtással foglalkozó intézményekben (gyermekotthonok, idősek otthona, fejlődési zavarral küzdő és fogyatékkal élő gyermekek napközije és hasonlók); </w:t>
            </w:r>
          </w:p>
          <w:p w:rsidR="005D554B" w:rsidRPr="00901FAE" w:rsidRDefault="005A7084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helyi közösséggel vagy egyéb jelentős intézményekkel és szervezetekkel együttműködésben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kológiai akciók, környezet- és állatvédelmi,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valamint</w:t>
            </w:r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újrahasznosítási</w:t>
            </w:r>
            <w:proofErr w:type="spellEnd"/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akciók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megszervezése az intézményben</w:t>
            </w:r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környezettudatosság növelése céljából képzések és előadások szervezése ökológia, környezetvédelem és </w:t>
            </w:r>
            <w:proofErr w:type="spellStart"/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primáris</w:t>
            </w:r>
            <w:proofErr w:type="spellEnd"/>
            <w:r w:rsidR="00575BFF"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újrahasznosítás témakörben;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Iskolai vagy közösségi helyiségek </w:t>
            </w:r>
            <w:r w:rsidR="005A7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parkok, sportpályák, iskolaudvarok rendezése (fa- és virágültetés, madárházak elhelyezése iskolaudvarban és városi parkban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Tematikus fórumok, előadások, kerekasztal-beszélgetések, különböző témájú csoportfoglalkozások szervezése (erőszak-megelőzés, fiatalok mentális egészsége, egészséges életmód, nemi úton terjedő betegségek, pszichoaktív szerek, nem kívánt terhesség megelőzése, szexuális felvilágosítás, világjárv</w:t>
            </w:r>
            <w:r w:rsidR="005A7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ányok és a higiénia jelentősége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stb.);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tanulók diákszervezet</w:t>
            </w:r>
            <w:r w:rsidR="005A7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kbe és -csoportokba történő aktív bevonása (diákparlament, kortárscsoport, mediátor csoportok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Az iskola keretén belül önkéntes tevékenységeket folytató diákklubok alapítása (kortársak közötti s</w:t>
            </w:r>
            <w:r w:rsidR="0047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egítségnyújtás, irodalmi klubok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stb.);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tanulók különböző iskolai projekt/kutatótevékenységekbe történő bevonása (helyiségek, reklámanyagok előkészítése, tevékenységek, előadások megvalósítása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tanulók szervezett iskolai tevékenységekbe történő bevonása </w:t>
            </w:r>
            <w:r w:rsidR="0047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diáktárssal támogatott tanulás, a kiegészítő és pótoktatás keretén belül, záróvizsgára való felkészülés, a diákok tanulásának és napköziben való tartózkodásának támogatása (ha van az iskolában);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47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tanuló</w:t>
            </w: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bevonása az erőszak és a hátrányos megkülönböztetés megelőzését célzó különböző tevékenységek szervezésébe és megvalósításába (előadások, műhelymunkák, fórum színház, élő könyvtár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tanév jeles napjainak, fontos időpontjainak megünneplésére vonatkozó tevékenységi terv kidolgozása (A tolerancia nemzetközi napja, Gyermekjogok Világnapja, Lelki Egészség Világnapja, Gyermekhét, Gyermekek Világnapja, Fogyatékossággal Élő Emberek Világnapja és hasonlók);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tanulók diákegyesületekbe való bevonása, amennyiben az intézményben létesítésre került ilyen, valamint</w:t>
            </w:r>
          </w:p>
          <w:p w:rsidR="005D554B" w:rsidRPr="00901FAE" w:rsidRDefault="00575BFF" w:rsidP="00901FAE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Egyéb társadalmilag hasznos munkatevékenységek a jelen Szabályzat értelmében.</w:t>
            </w:r>
          </w:p>
        </w:tc>
      </w:tr>
    </w:tbl>
    <w:bookmarkEnd w:id="1"/>
    <w:p w:rsidR="005D554B" w:rsidRPr="00BC3837" w:rsidRDefault="00575BFF" w:rsidP="0047659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C3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Megjegyzés: A felsorolt tevékenységek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az iskola sajátosságaival, lehetőségeivel, igényeivel és céljaival, valamint általános jogi aktusaival összhangban </w:t>
      </w:r>
      <w:r w:rsidR="0047659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C3837">
        <w:rPr>
          <w:rFonts w:ascii="Times New Roman" w:hAnsi="Times New Roman" w:cs="Times New Roman"/>
          <w:color w:val="000000"/>
          <w:sz w:val="24"/>
          <w:szCs w:val="24"/>
        </w:rPr>
        <w:t xml:space="preserve"> társíthatók és bővíthetők egyéb tevékenységek szervezésével, mindezt egy elfogadó és toleráns környezet megteremtése, az empátia fejlesztése, továbbá a kölcsönös tisztelet, együttműködés és az erőszakmentes kommunikáció ápolásának céljából.</w:t>
      </w:r>
    </w:p>
    <w:sectPr w:rsidR="005D554B" w:rsidRPr="00BC38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8D4"/>
    <w:multiLevelType w:val="hybridMultilevel"/>
    <w:tmpl w:val="59241EAE"/>
    <w:lvl w:ilvl="0" w:tplc="1B74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4B"/>
    <w:rsid w:val="0012508F"/>
    <w:rsid w:val="0047659E"/>
    <w:rsid w:val="00556FB9"/>
    <w:rsid w:val="00575BFF"/>
    <w:rsid w:val="005A7084"/>
    <w:rsid w:val="005D554B"/>
    <w:rsid w:val="0073007A"/>
    <w:rsid w:val="00901FAE"/>
    <w:rsid w:val="00977168"/>
    <w:rsid w:val="00A73110"/>
    <w:rsid w:val="00B250D4"/>
    <w:rsid w:val="00B96B91"/>
    <w:rsid w:val="00BC3837"/>
    <w:rsid w:val="00BE28DE"/>
    <w:rsid w:val="00E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14E0"/>
  <w15:docId w15:val="{CB2EDDD4-6611-4775-B2D0-87238C4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90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 Orsolja</dc:creator>
  <cp:lastModifiedBy>Sabina Terteli</cp:lastModifiedBy>
  <cp:revision>7</cp:revision>
  <dcterms:created xsi:type="dcterms:W3CDTF">2024-02-21T07:39:00Z</dcterms:created>
  <dcterms:modified xsi:type="dcterms:W3CDTF">2024-02-26T14:42:00Z</dcterms:modified>
</cp:coreProperties>
</file>