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306" w:rsidRDefault="00170306">
      <w:pPr>
        <w:pStyle w:val="BodyText"/>
        <w:spacing w:before="5"/>
        <w:ind w:left="0"/>
        <w:rPr>
          <w:sz w:val="15"/>
        </w:rPr>
      </w:pPr>
    </w:p>
    <w:p w:rsidR="00170306" w:rsidRDefault="008D7F3E">
      <w:pPr>
        <w:spacing w:before="91"/>
        <w:ind w:left="6084"/>
        <w:rPr>
          <w:b/>
          <w:sz w:val="20"/>
        </w:rPr>
      </w:pPr>
      <w:r>
        <w:t>INŠTITÚT VEREJNÉHO ZDRAVIA SRBSKA</w:t>
      </w:r>
    </w:p>
    <w:p w:rsidR="00F576F7" w:rsidRDefault="008D7F3E" w:rsidP="00F576F7">
      <w:pPr>
        <w:spacing w:before="10"/>
        <w:ind w:left="6756"/>
        <w:rPr>
          <w:b/>
          <w:sz w:val="20"/>
        </w:rPr>
      </w:pPr>
      <w:r>
        <w:rPr>
          <w:b/>
          <w:sz w:val="20"/>
        </w:rPr>
        <w:t xml:space="preserve">Dr. Milana </w:t>
      </w:r>
      <w:proofErr w:type="spellStart"/>
      <w:r>
        <w:rPr>
          <w:b/>
          <w:sz w:val="20"/>
        </w:rPr>
        <w:t>Jovanovića</w:t>
      </w:r>
      <w:proofErr w:type="spellEnd"/>
      <w:r>
        <w:rPr>
          <w:b/>
          <w:sz w:val="20"/>
        </w:rPr>
        <w:t xml:space="preserve"> </w:t>
      </w:r>
      <w:proofErr w:type="spellStart"/>
      <w:r>
        <w:rPr>
          <w:b/>
          <w:sz w:val="20"/>
        </w:rPr>
        <w:t>Batutu</w:t>
      </w:r>
      <w:proofErr w:type="spellEnd"/>
    </w:p>
    <w:p w:rsidR="00170306" w:rsidRPr="00F576F7" w:rsidRDefault="008D7F3E" w:rsidP="00F576F7">
      <w:pPr>
        <w:spacing w:before="10"/>
        <w:ind w:left="6756"/>
        <w:rPr>
          <w:b/>
          <w:sz w:val="20"/>
        </w:rPr>
      </w:pPr>
      <w:r>
        <w:t xml:space="preserve">Dr. </w:t>
      </w:r>
      <w:proofErr w:type="spellStart"/>
      <w:r>
        <w:t>Subotića</w:t>
      </w:r>
      <w:proofErr w:type="spellEnd"/>
      <w:r>
        <w:rPr>
          <w:b/>
          <w:sz w:val="18"/>
        </w:rPr>
        <w:t xml:space="preserve"> 5, 11000 Belehrad</w:t>
      </w:r>
      <w:r>
        <w:rPr>
          <w:b/>
          <w:sz w:val="18"/>
        </w:rPr>
        <w:t xml:space="preserve"> Srbsko</w:t>
      </w:r>
      <w:hyperlink r:id="rId5">
        <w:r>
          <w:rPr>
            <w:b/>
            <w:sz w:val="18"/>
          </w:rPr>
          <w:t xml:space="preserve"> http://www.batut.org.rs</w:t>
        </w:r>
      </w:hyperlink>
    </w:p>
    <w:p w:rsidR="00170306" w:rsidRDefault="00170306">
      <w:pPr>
        <w:pStyle w:val="BodyText"/>
        <w:ind w:left="0"/>
        <w:rPr>
          <w:b/>
          <w:sz w:val="20"/>
        </w:rPr>
      </w:pPr>
    </w:p>
    <w:p w:rsidR="00170306" w:rsidRDefault="00170306">
      <w:pPr>
        <w:pStyle w:val="BodyText"/>
        <w:spacing w:before="11"/>
        <w:ind w:left="0"/>
        <w:rPr>
          <w:b/>
          <w:sz w:val="29"/>
        </w:rPr>
      </w:pPr>
    </w:p>
    <w:tbl>
      <w:tblPr>
        <w:tblW w:w="0" w:type="auto"/>
        <w:tblInd w:w="119" w:type="dxa"/>
        <w:tblLayout w:type="fixed"/>
        <w:tblCellMar>
          <w:left w:w="0" w:type="dxa"/>
          <w:right w:w="0" w:type="dxa"/>
        </w:tblCellMar>
        <w:tblLook w:val="01E0" w:firstRow="1" w:lastRow="1" w:firstColumn="1" w:lastColumn="1" w:noHBand="0" w:noVBand="0"/>
      </w:tblPr>
      <w:tblGrid>
        <w:gridCol w:w="3078"/>
        <w:gridCol w:w="2455"/>
        <w:gridCol w:w="4044"/>
      </w:tblGrid>
      <w:tr w:rsidR="00170306">
        <w:trPr>
          <w:trHeight w:val="260"/>
        </w:trPr>
        <w:tc>
          <w:tcPr>
            <w:tcW w:w="3078" w:type="dxa"/>
            <w:tcBorders>
              <w:top w:val="single" w:sz="12" w:space="0" w:color="C0C0C0"/>
            </w:tcBorders>
            <w:shd w:val="clear" w:color="auto" w:fill="F1F1F1"/>
          </w:tcPr>
          <w:p w:rsidR="00170306" w:rsidRDefault="008D7F3E">
            <w:pPr>
              <w:pStyle w:val="TableParagraph"/>
              <w:spacing w:before="16" w:line="224" w:lineRule="exact"/>
              <w:ind w:left="89" w:right="156"/>
              <w:jc w:val="center"/>
              <w:rPr>
                <w:sz w:val="20"/>
              </w:rPr>
            </w:pPr>
            <w:r>
              <w:rPr>
                <w:sz w:val="20"/>
              </w:rPr>
              <w:t>Telefón ústredňa: 011-2684-566</w:t>
            </w:r>
          </w:p>
        </w:tc>
        <w:tc>
          <w:tcPr>
            <w:tcW w:w="2455" w:type="dxa"/>
            <w:tcBorders>
              <w:top w:val="single" w:sz="12" w:space="0" w:color="C0C0C0"/>
            </w:tcBorders>
            <w:shd w:val="clear" w:color="auto" w:fill="F1F1F1"/>
          </w:tcPr>
          <w:p w:rsidR="00170306" w:rsidRDefault="008D7F3E">
            <w:pPr>
              <w:pStyle w:val="TableParagraph"/>
              <w:spacing w:before="16" w:line="224" w:lineRule="exact"/>
              <w:ind w:left="155" w:right="87"/>
              <w:jc w:val="center"/>
              <w:rPr>
                <w:sz w:val="20"/>
              </w:rPr>
            </w:pPr>
            <w:r>
              <w:rPr>
                <w:sz w:val="20"/>
              </w:rPr>
              <w:t>Fax: 011-2685-735</w:t>
            </w:r>
          </w:p>
        </w:tc>
        <w:tc>
          <w:tcPr>
            <w:tcW w:w="4044" w:type="dxa"/>
            <w:tcBorders>
              <w:top w:val="single" w:sz="12" w:space="0" w:color="C0C0C0"/>
            </w:tcBorders>
            <w:shd w:val="clear" w:color="auto" w:fill="F1F1F1"/>
          </w:tcPr>
          <w:p w:rsidR="00170306" w:rsidRDefault="008D7F3E">
            <w:pPr>
              <w:pStyle w:val="TableParagraph"/>
              <w:spacing w:before="16" w:line="224" w:lineRule="exact"/>
              <w:ind w:left="192"/>
              <w:rPr>
                <w:sz w:val="20"/>
              </w:rPr>
            </w:pPr>
            <w:r>
              <w:rPr>
                <w:sz w:val="20"/>
              </w:rPr>
              <w:t xml:space="preserve">Elektronická pošta: </w:t>
            </w:r>
            <w:hyperlink r:id="rId6">
              <w:r>
                <w:rPr>
                  <w:sz w:val="20"/>
                </w:rPr>
                <w:t>kabinet@batut.org.rs</w:t>
              </w:r>
            </w:hyperlink>
          </w:p>
        </w:tc>
      </w:tr>
      <w:tr w:rsidR="00170306">
        <w:trPr>
          <w:trHeight w:val="337"/>
        </w:trPr>
        <w:tc>
          <w:tcPr>
            <w:tcW w:w="3078" w:type="dxa"/>
            <w:tcBorders>
              <w:bottom w:val="single" w:sz="12" w:space="0" w:color="C0C0C0"/>
            </w:tcBorders>
            <w:shd w:val="clear" w:color="auto" w:fill="F1F1F1"/>
          </w:tcPr>
          <w:p w:rsidR="00170306" w:rsidRDefault="008D7F3E">
            <w:pPr>
              <w:pStyle w:val="TableParagraph"/>
              <w:spacing w:before="5"/>
              <w:ind w:left="89" w:right="151"/>
              <w:jc w:val="center"/>
              <w:rPr>
                <w:sz w:val="20"/>
              </w:rPr>
            </w:pPr>
            <w:r>
              <w:rPr>
                <w:sz w:val="20"/>
              </w:rPr>
              <w:t>Číslo účtu: 840-624661-88</w:t>
            </w:r>
          </w:p>
        </w:tc>
        <w:tc>
          <w:tcPr>
            <w:tcW w:w="2455" w:type="dxa"/>
            <w:tcBorders>
              <w:bottom w:val="single" w:sz="12" w:space="0" w:color="C0C0C0"/>
            </w:tcBorders>
            <w:shd w:val="clear" w:color="auto" w:fill="F1F1F1"/>
          </w:tcPr>
          <w:p w:rsidR="00170306" w:rsidRDefault="008D7F3E">
            <w:pPr>
              <w:pStyle w:val="TableParagraph"/>
              <w:spacing w:before="5"/>
              <w:ind w:left="155" w:right="171"/>
              <w:jc w:val="center"/>
              <w:rPr>
                <w:sz w:val="20"/>
              </w:rPr>
            </w:pPr>
            <w:r>
              <w:rPr>
                <w:sz w:val="20"/>
              </w:rPr>
              <w:t>Identifikačné číslo: 07036027</w:t>
            </w:r>
          </w:p>
        </w:tc>
        <w:tc>
          <w:tcPr>
            <w:tcW w:w="4044" w:type="dxa"/>
            <w:tcBorders>
              <w:bottom w:val="single" w:sz="12" w:space="0" w:color="C0C0C0"/>
            </w:tcBorders>
            <w:shd w:val="clear" w:color="auto" w:fill="F1F1F1"/>
          </w:tcPr>
          <w:p w:rsidR="00170306" w:rsidRDefault="008D7F3E">
            <w:pPr>
              <w:pStyle w:val="TableParagraph"/>
              <w:spacing w:before="5"/>
              <w:ind w:left="1063"/>
              <w:rPr>
                <w:sz w:val="20"/>
              </w:rPr>
            </w:pPr>
            <w:r>
              <w:rPr>
                <w:sz w:val="20"/>
              </w:rPr>
              <w:t>DIČ: 102000930</w:t>
            </w:r>
          </w:p>
        </w:tc>
      </w:tr>
    </w:tbl>
    <w:p w:rsidR="00170306" w:rsidRDefault="00170306">
      <w:pPr>
        <w:pStyle w:val="BodyText"/>
        <w:ind w:left="0"/>
        <w:rPr>
          <w:b/>
          <w:sz w:val="20"/>
        </w:rPr>
      </w:pPr>
    </w:p>
    <w:p w:rsidR="00170306" w:rsidRDefault="00170306">
      <w:pPr>
        <w:pStyle w:val="BodyText"/>
        <w:ind w:left="0"/>
        <w:rPr>
          <w:b/>
          <w:sz w:val="20"/>
        </w:rPr>
      </w:pPr>
    </w:p>
    <w:p w:rsidR="00170306" w:rsidRDefault="008D7F3E" w:rsidP="00F576F7">
      <w:pPr>
        <w:pStyle w:val="Heading1"/>
        <w:spacing w:before="216" w:line="360" w:lineRule="auto"/>
        <w:ind w:right="547"/>
        <w:jc w:val="center"/>
      </w:pPr>
      <w:r>
        <w:t>Odborné a metodické pokyny na prevenciu zavlečenia a kontrolu šírenia COVID-19 v Srbskej republike</w:t>
      </w:r>
    </w:p>
    <w:p w:rsidR="00170306" w:rsidRDefault="00170306">
      <w:pPr>
        <w:pStyle w:val="BodyText"/>
        <w:spacing w:before="10"/>
        <w:ind w:left="0"/>
        <w:rPr>
          <w:b/>
          <w:sz w:val="35"/>
        </w:rPr>
      </w:pPr>
    </w:p>
    <w:p w:rsidR="00170306" w:rsidRDefault="008D7F3E">
      <w:pPr>
        <w:spacing w:before="1" w:line="360" w:lineRule="auto"/>
        <w:ind w:left="472" w:right="544"/>
        <w:jc w:val="both"/>
        <w:rPr>
          <w:b/>
          <w:sz w:val="24"/>
        </w:rPr>
      </w:pPr>
      <w:r>
        <w:rPr>
          <w:b/>
          <w:sz w:val="24"/>
        </w:rPr>
        <w:t xml:space="preserve">Predmet: </w:t>
      </w:r>
      <w:r>
        <w:rPr>
          <w:b/>
          <w:sz w:val="24"/>
        </w:rPr>
        <w:t xml:space="preserve">Zmena Prílohy 7 Postup pri úzkych kontaktoch osoby nakazenej COVID-19 Odborné a metodické pokyny na prevenciu zavlečenia a kontrolu šírenia COVID-19 v Srbskej republike </w:t>
      </w:r>
    </w:p>
    <w:p w:rsidR="00170306" w:rsidRDefault="00170306">
      <w:pPr>
        <w:pStyle w:val="BodyText"/>
        <w:spacing w:before="6"/>
        <w:ind w:left="0"/>
        <w:rPr>
          <w:b/>
          <w:sz w:val="35"/>
        </w:rPr>
      </w:pPr>
    </w:p>
    <w:p w:rsidR="00170306" w:rsidRDefault="008D7F3E">
      <w:pPr>
        <w:pStyle w:val="BodyText"/>
        <w:spacing w:before="1" w:line="360" w:lineRule="auto"/>
        <w:ind w:right="546" w:firstLine="720"/>
        <w:jc w:val="both"/>
      </w:pPr>
      <w:r>
        <w:t>Vzhľadom na aktuálnu epidemiologickú situáciu v Srbskej republike, ako aj vývoj epidé</w:t>
      </w:r>
      <w:r>
        <w:t xml:space="preserve">mie v iných európskych krajinách a v súvislosti so vznikom a prenosom delta a </w:t>
      </w:r>
      <w:proofErr w:type="spellStart"/>
      <w:r w:rsidR="00F576F7">
        <w:t>omikron</w:t>
      </w:r>
      <w:proofErr w:type="spellEnd"/>
      <w:r>
        <w:t xml:space="preserve"> variantu vírusu SARS-CoV-2, </w:t>
      </w:r>
      <w:proofErr w:type="spellStart"/>
      <w:r>
        <w:t>zaočkovanosť</w:t>
      </w:r>
      <w:proofErr w:type="spellEnd"/>
      <w:r>
        <w:t xml:space="preserve">, očakávané dopady novej vlny na zdravotný systém a </w:t>
      </w:r>
      <w:r>
        <w:t>cel</w:t>
      </w:r>
      <w:r>
        <w:t>k</w:t>
      </w:r>
      <w:r w:rsidR="00E2645B">
        <w:t>ovo</w:t>
      </w:r>
      <w:r>
        <w:t xml:space="preserve"> a v súlade so záverom Krízového štábu pre potlačenie infekčn</w:t>
      </w:r>
      <w:r w:rsidR="00E2645B">
        <w:t>ej</w:t>
      </w:r>
      <w:r>
        <w:t xml:space="preserve"> chor</w:t>
      </w:r>
      <w:r w:rsidR="00E2645B">
        <w:t>oby</w:t>
      </w:r>
      <w:r>
        <w:t xml:space="preserve"> COVID</w:t>
      </w:r>
      <w:r>
        <w:t>-</w:t>
      </w:r>
      <w:r>
        <w:t>19 z 90. zasadnutia (číslo 53-</w:t>
      </w:r>
      <w:r>
        <w:t>262 / 2022-1 zo 14. januára 2022), uvádzame nasledujúce návrhy na zmeny a doplnenia Prílohy 7. Odborné a metodické pokyny na prevenciu zavlečenia a kontrolu šírenia COVID-19 v Srbskej republike:</w:t>
      </w:r>
    </w:p>
    <w:p w:rsidR="00170306" w:rsidRDefault="00170306">
      <w:pPr>
        <w:pStyle w:val="BodyText"/>
        <w:ind w:left="0"/>
        <w:rPr>
          <w:sz w:val="36"/>
        </w:rPr>
      </w:pPr>
    </w:p>
    <w:p w:rsidR="00170306" w:rsidRDefault="008D7F3E">
      <w:pPr>
        <w:pStyle w:val="ListParagraph"/>
        <w:numPr>
          <w:ilvl w:val="0"/>
          <w:numId w:val="7"/>
        </w:numPr>
        <w:tabs>
          <w:tab w:val="left" w:pos="756"/>
        </w:tabs>
        <w:spacing w:line="360" w:lineRule="auto"/>
        <w:ind w:right="547"/>
        <w:jc w:val="both"/>
        <w:rPr>
          <w:sz w:val="24"/>
        </w:rPr>
      </w:pPr>
      <w:r>
        <w:rPr>
          <w:sz w:val="24"/>
        </w:rPr>
        <w:t>Karanténne</w:t>
      </w:r>
      <w:r>
        <w:rPr>
          <w:sz w:val="24"/>
        </w:rPr>
        <w:t xml:space="preserve"> opatrenie </w:t>
      </w:r>
      <w:r w:rsidR="00E2645B">
        <w:rPr>
          <w:sz w:val="24"/>
        </w:rPr>
        <w:t>v </w:t>
      </w:r>
      <w:r>
        <w:rPr>
          <w:sz w:val="24"/>
        </w:rPr>
        <w:t>dom</w:t>
      </w:r>
      <w:r w:rsidR="00E2645B">
        <w:rPr>
          <w:sz w:val="24"/>
        </w:rPr>
        <w:t>ácich podmienkach</w:t>
      </w:r>
      <w:r>
        <w:rPr>
          <w:sz w:val="24"/>
        </w:rPr>
        <w:t xml:space="preserve"> pre všetky zistené úzke kontakty prípadov COVID-19 sa vykonáva po dobu 5 kalendárnych dní od</w:t>
      </w:r>
      <w:r w:rsidR="00E277CB">
        <w:rPr>
          <w:sz w:val="24"/>
        </w:rPr>
        <w:t xml:space="preserve"> </w:t>
      </w:r>
      <w:r>
        <w:rPr>
          <w:sz w:val="24"/>
        </w:rPr>
        <w:t>okamihu posledného kontaktu.</w:t>
      </w:r>
    </w:p>
    <w:p w:rsidR="00170306" w:rsidRDefault="008D7F3E">
      <w:pPr>
        <w:pStyle w:val="Heading1"/>
        <w:numPr>
          <w:ilvl w:val="1"/>
          <w:numId w:val="7"/>
        </w:numPr>
        <w:tabs>
          <w:tab w:val="left" w:pos="1193"/>
        </w:tabs>
        <w:spacing w:before="5" w:line="352" w:lineRule="auto"/>
        <w:ind w:right="553"/>
      </w:pPr>
      <w:r>
        <w:t xml:space="preserve">Ak sa po 5 dňoch symptómy a príznaky ochorenia COVID-19 počas tohto obdobia neprejavia, karanténa sa ukončí bez testovania. </w:t>
      </w:r>
    </w:p>
    <w:p w:rsidR="00170306" w:rsidRDefault="008D7F3E">
      <w:pPr>
        <w:pStyle w:val="ListParagraph"/>
        <w:numPr>
          <w:ilvl w:val="1"/>
          <w:numId w:val="7"/>
        </w:numPr>
        <w:tabs>
          <w:tab w:val="left" w:pos="1193"/>
        </w:tabs>
        <w:spacing w:before="2" w:line="352" w:lineRule="auto"/>
        <w:ind w:right="547"/>
        <w:rPr>
          <w:sz w:val="24"/>
        </w:rPr>
      </w:pPr>
      <w:r>
        <w:rPr>
          <w:sz w:val="24"/>
        </w:rPr>
        <w:t xml:space="preserve">Dátum poslednej expozície, teda posledného kontaktu s prípadom COVID-19, je nultý deň. </w:t>
      </w:r>
    </w:p>
    <w:p w:rsidR="00170306" w:rsidRDefault="008D7F3E">
      <w:pPr>
        <w:pStyle w:val="ListParagraph"/>
        <w:numPr>
          <w:ilvl w:val="1"/>
          <w:numId w:val="7"/>
        </w:numPr>
        <w:tabs>
          <w:tab w:val="left" w:pos="1193"/>
        </w:tabs>
        <w:spacing w:before="7" w:line="360" w:lineRule="auto"/>
        <w:ind w:right="549"/>
        <w:rPr>
          <w:sz w:val="24"/>
        </w:rPr>
      </w:pPr>
      <w:r>
        <w:rPr>
          <w:sz w:val="24"/>
        </w:rPr>
        <w:t>Všetky kontakty, ktorým je predpísané karan</w:t>
      </w:r>
      <w:r>
        <w:rPr>
          <w:sz w:val="24"/>
        </w:rPr>
        <w:t>ténne opatrenie, sú povinní dôsledne dodržiavať predpísané opatrenia osobnej ochrany po uplynutí platnosti karanténneho opatrenia, v nasledujúcich</w:t>
      </w:r>
      <w:r>
        <w:rPr>
          <w:sz w:val="24"/>
        </w:rPr>
        <w:t xml:space="preserve"> dodatočných</w:t>
      </w:r>
      <w:r>
        <w:rPr>
          <w:sz w:val="24"/>
        </w:rPr>
        <w:t xml:space="preserve"> piatich dňoch, presnejšie do 10. dňa odo dňa posledného kontaktu s nakazeným COVID-19 (nosenie </w:t>
      </w:r>
      <w:r>
        <w:rPr>
          <w:sz w:val="24"/>
        </w:rPr>
        <w:t>ochranného rúška typu N95 vždy, keď sa zdržiavate vo vnútri s inými osobami v jednej miestnosti, ako aj vonku, ak nemôžete udržiavať vzdialenosť najmenej dva metre od iných osôb, umývanie a dezinfekcia rúk, vyhýbanie sa zhromažďovaniu vnútri a vonku).</w:t>
      </w:r>
    </w:p>
    <w:p w:rsidR="00170306" w:rsidRDefault="00170306">
      <w:pPr>
        <w:spacing w:line="360" w:lineRule="auto"/>
        <w:jc w:val="both"/>
        <w:rPr>
          <w:sz w:val="24"/>
        </w:rPr>
        <w:sectPr w:rsidR="00170306">
          <w:type w:val="continuous"/>
          <w:pgSz w:w="11910" w:h="16840"/>
          <w:pgMar w:top="520" w:right="440" w:bottom="280" w:left="38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170306" w:rsidRDefault="008D7F3E">
      <w:pPr>
        <w:pStyle w:val="ListParagraph"/>
        <w:numPr>
          <w:ilvl w:val="0"/>
          <w:numId w:val="7"/>
        </w:numPr>
        <w:tabs>
          <w:tab w:val="left" w:pos="900"/>
        </w:tabs>
        <w:spacing w:before="73" w:line="360" w:lineRule="auto"/>
        <w:ind w:left="899" w:right="548" w:hanging="361"/>
        <w:jc w:val="both"/>
        <w:rPr>
          <w:sz w:val="24"/>
        </w:rPr>
      </w:pPr>
      <w:r>
        <w:rPr>
          <w:sz w:val="24"/>
        </w:rPr>
        <w:lastRenderedPageBreak/>
        <w:t xml:space="preserve">Z karanténneho opatrenia sú po úzkom kontakte s prípadom COVID-19 vyňaté všetky osoby, ktoré spĺňajú aspoň jedno z nasledujúcich kritérií: </w:t>
      </w:r>
    </w:p>
    <w:p w:rsidR="00170306" w:rsidRDefault="00E2645B">
      <w:pPr>
        <w:pStyle w:val="ListParagraph"/>
        <w:numPr>
          <w:ilvl w:val="1"/>
          <w:numId w:val="7"/>
        </w:numPr>
        <w:tabs>
          <w:tab w:val="left" w:pos="1193"/>
        </w:tabs>
        <w:spacing w:line="352" w:lineRule="auto"/>
        <w:ind w:right="549"/>
        <w:rPr>
          <w:sz w:val="24"/>
        </w:rPr>
      </w:pPr>
      <w:r>
        <w:rPr>
          <w:sz w:val="24"/>
        </w:rPr>
        <w:t>Potvrdenie o očkovaní</w:t>
      </w:r>
      <w:r w:rsidR="008D7F3E">
        <w:rPr>
          <w:sz w:val="24"/>
        </w:rPr>
        <w:t xml:space="preserve"> druh</w:t>
      </w:r>
      <w:r>
        <w:rPr>
          <w:sz w:val="24"/>
        </w:rPr>
        <w:t>ou</w:t>
      </w:r>
      <w:r w:rsidR="008D7F3E">
        <w:rPr>
          <w:sz w:val="24"/>
        </w:rPr>
        <w:t xml:space="preserve"> alebo tre</w:t>
      </w:r>
      <w:r>
        <w:rPr>
          <w:sz w:val="24"/>
        </w:rPr>
        <w:t>ťou</w:t>
      </w:r>
      <w:r w:rsidR="008D7F3E">
        <w:rPr>
          <w:sz w:val="24"/>
        </w:rPr>
        <w:t xml:space="preserve"> dávk</w:t>
      </w:r>
      <w:r>
        <w:rPr>
          <w:sz w:val="24"/>
        </w:rPr>
        <w:t>ou</w:t>
      </w:r>
      <w:r w:rsidR="008D7F3E">
        <w:rPr>
          <w:sz w:val="24"/>
        </w:rPr>
        <w:t xml:space="preserve"> vakcíny proti infekčn</w:t>
      </w:r>
      <w:r w:rsidR="008D7F3E">
        <w:rPr>
          <w:sz w:val="24"/>
        </w:rPr>
        <w:t>ému ochoreniu COVID-19, ktor</w:t>
      </w:r>
      <w:r>
        <w:rPr>
          <w:sz w:val="24"/>
        </w:rPr>
        <w:t>é</w:t>
      </w:r>
      <w:r w:rsidR="008D7F3E">
        <w:rPr>
          <w:sz w:val="24"/>
        </w:rPr>
        <w:t xml:space="preserve"> potvrdzuje, že očkovanie nie je staršie ako 210 dní od poslednej dávky vakcíny, </w:t>
      </w:r>
    </w:p>
    <w:p w:rsidR="00170306" w:rsidRDefault="008D7F3E">
      <w:pPr>
        <w:pStyle w:val="ListParagraph"/>
        <w:numPr>
          <w:ilvl w:val="1"/>
          <w:numId w:val="7"/>
        </w:numPr>
        <w:tabs>
          <w:tab w:val="left" w:pos="1193"/>
        </w:tabs>
        <w:spacing w:before="7" w:line="360" w:lineRule="auto"/>
        <w:ind w:right="541"/>
        <w:rPr>
          <w:sz w:val="24"/>
        </w:rPr>
      </w:pPr>
      <w:r>
        <w:rPr>
          <w:sz w:val="24"/>
        </w:rPr>
        <w:t>dôkaz o prekonaní infekčného ochorenia COVID-19 vo forme pozitívneho REAL TIME PCR testu na SARS-CoV-2 alebo testu na zistenie antigénu SARS-CoV-</w:t>
      </w:r>
      <w:r>
        <w:rPr>
          <w:sz w:val="24"/>
        </w:rPr>
        <w:t xml:space="preserve">2, nie novší ako 14 a nie starší ako 210 dní od dátumu odberu vzoriek. Ak bol test na zistenie antigénu SARS-CoV-2 vykonaný v súkromnom laboratóriu, teda nie je zadaný v informačnom systéme covid.rs, výsledok testu musí mať správu od lekára z </w:t>
      </w:r>
      <w:proofErr w:type="spellStart"/>
      <w:r w:rsidR="00E2645B">
        <w:rPr>
          <w:sz w:val="24"/>
        </w:rPr>
        <w:t>covid</w:t>
      </w:r>
      <w:proofErr w:type="spellEnd"/>
      <w:r w:rsidR="00E2645B">
        <w:rPr>
          <w:sz w:val="24"/>
        </w:rPr>
        <w:t xml:space="preserve"> </w:t>
      </w:r>
      <w:r>
        <w:rPr>
          <w:sz w:val="24"/>
        </w:rPr>
        <w:t xml:space="preserve">ambulancie </w:t>
      </w:r>
      <w:r>
        <w:rPr>
          <w:sz w:val="24"/>
        </w:rPr>
        <w:t>alebo hospitalizácie</w:t>
      </w:r>
      <w:r w:rsidR="00E2645B">
        <w:rPr>
          <w:sz w:val="24"/>
        </w:rPr>
        <w:t xml:space="preserve"> –</w:t>
      </w:r>
      <w:r>
        <w:rPr>
          <w:sz w:val="24"/>
        </w:rPr>
        <w:t xml:space="preserve"> správa (</w:t>
      </w:r>
      <w:r w:rsidR="00E2645B">
        <w:rPr>
          <w:sz w:val="24"/>
        </w:rPr>
        <w:t>prepúšťací</w:t>
      </w:r>
      <w:r>
        <w:rPr>
          <w:sz w:val="24"/>
        </w:rPr>
        <w:t xml:space="preserve"> </w:t>
      </w:r>
      <w:r w:rsidR="00E2645B">
        <w:rPr>
          <w:sz w:val="24"/>
        </w:rPr>
        <w:t>doklad</w:t>
      </w:r>
      <w:r>
        <w:rPr>
          <w:sz w:val="24"/>
        </w:rPr>
        <w:t>) potvrdzujúca diagnózu ochorenia COVID-19 v období, kedy bol test vykonaný, za účelom akceptovania dôkazov na účely oslobodenia z karantény/karantény v domácom prostredí.</w:t>
      </w:r>
    </w:p>
    <w:p w:rsidR="00170306" w:rsidRDefault="008D7F3E">
      <w:pPr>
        <w:pStyle w:val="ListParagraph"/>
        <w:numPr>
          <w:ilvl w:val="1"/>
          <w:numId w:val="7"/>
        </w:numPr>
        <w:tabs>
          <w:tab w:val="left" w:pos="1193"/>
        </w:tabs>
        <w:spacing w:line="355" w:lineRule="auto"/>
        <w:ind w:right="548"/>
        <w:rPr>
          <w:sz w:val="24"/>
        </w:rPr>
      </w:pPr>
      <w:r>
        <w:rPr>
          <w:sz w:val="24"/>
        </w:rPr>
        <w:t xml:space="preserve">pozitívny výsledok </w:t>
      </w:r>
      <w:proofErr w:type="spellStart"/>
      <w:r>
        <w:rPr>
          <w:sz w:val="24"/>
        </w:rPr>
        <w:t>sérologického</w:t>
      </w:r>
      <w:proofErr w:type="spellEnd"/>
      <w:r>
        <w:rPr>
          <w:sz w:val="24"/>
        </w:rPr>
        <w:t xml:space="preserve"> </w:t>
      </w:r>
      <w:r w:rsidR="00E2645B">
        <w:rPr>
          <w:sz w:val="24"/>
        </w:rPr>
        <w:t>testu</w:t>
      </w:r>
      <w:r>
        <w:rPr>
          <w:sz w:val="24"/>
        </w:rPr>
        <w:t xml:space="preserve"> na SARS-CoV-2 S-Proteín (RBD) </w:t>
      </w:r>
      <w:proofErr w:type="spellStart"/>
      <w:r>
        <w:rPr>
          <w:sz w:val="24"/>
        </w:rPr>
        <w:t>Imunoglobulín</w:t>
      </w:r>
      <w:proofErr w:type="spellEnd"/>
      <w:r>
        <w:rPr>
          <w:sz w:val="24"/>
        </w:rPr>
        <w:t xml:space="preserve"> G (</w:t>
      </w:r>
      <w:proofErr w:type="spellStart"/>
      <w:r>
        <w:rPr>
          <w:sz w:val="24"/>
        </w:rPr>
        <w:t>IgG</w:t>
      </w:r>
      <w:proofErr w:type="spellEnd"/>
      <w:r>
        <w:rPr>
          <w:sz w:val="24"/>
        </w:rPr>
        <w:t xml:space="preserve">) vyrobený v jednom z verejných laboratórií, nie starší ako 90 dní od dátumu odberu. </w:t>
      </w:r>
    </w:p>
    <w:p w:rsidR="00170306" w:rsidRDefault="008D7F3E">
      <w:pPr>
        <w:pStyle w:val="ListParagraph"/>
        <w:numPr>
          <w:ilvl w:val="1"/>
          <w:numId w:val="7"/>
        </w:numPr>
        <w:tabs>
          <w:tab w:val="left" w:pos="1193"/>
        </w:tabs>
        <w:spacing w:line="357" w:lineRule="auto"/>
        <w:ind w:right="543"/>
        <w:rPr>
          <w:sz w:val="24"/>
        </w:rPr>
      </w:pPr>
      <w:r>
        <w:rPr>
          <w:sz w:val="24"/>
        </w:rPr>
        <w:t>Osoby oslobodené od karanténneho opatrenia z vyššie uvedených dôvodov sú povinné do 10. dňa odo dňa poslednéh</w:t>
      </w:r>
      <w:r>
        <w:rPr>
          <w:sz w:val="24"/>
        </w:rPr>
        <w:t>o kontaktu s prípadom COVID-19 dôsledne dodržiavať predpísané opatrenia osobnej ochrany (nosenie ochranného rúška typu N95 vždy, keď ste v interiéri s inými</w:t>
      </w:r>
      <w:r>
        <w:rPr>
          <w:sz w:val="24"/>
        </w:rPr>
        <w:t>, ako aj vonku, ak nie je možné dodržať odstup najmenej dva metre od in</w:t>
      </w:r>
      <w:r>
        <w:rPr>
          <w:sz w:val="24"/>
        </w:rPr>
        <w:t xml:space="preserve">ých osôb, umývanie a dezinfekcia rúk, vyhýbanie sa zhromažďovaniu vnútri a vonku). </w:t>
      </w:r>
    </w:p>
    <w:p w:rsidR="00170306" w:rsidRDefault="00170306">
      <w:pPr>
        <w:pStyle w:val="BodyText"/>
        <w:spacing w:before="7"/>
        <w:ind w:left="0"/>
        <w:rPr>
          <w:sz w:val="36"/>
        </w:rPr>
      </w:pPr>
    </w:p>
    <w:p w:rsidR="00170306" w:rsidRDefault="008D7F3E">
      <w:pPr>
        <w:pStyle w:val="BodyText"/>
        <w:ind w:left="4769" w:right="4489"/>
        <w:jc w:val="center"/>
      </w:pPr>
      <w:r>
        <w:t>ZDÔVODNENIE</w:t>
      </w:r>
    </w:p>
    <w:p w:rsidR="00170306" w:rsidRDefault="00170306">
      <w:pPr>
        <w:pStyle w:val="BodyText"/>
        <w:ind w:left="0"/>
        <w:rPr>
          <w:sz w:val="26"/>
        </w:rPr>
      </w:pPr>
    </w:p>
    <w:p w:rsidR="00170306" w:rsidRDefault="00170306">
      <w:pPr>
        <w:pStyle w:val="BodyText"/>
        <w:ind w:left="0"/>
        <w:rPr>
          <w:sz w:val="22"/>
        </w:rPr>
      </w:pPr>
    </w:p>
    <w:p w:rsidR="00170306" w:rsidRDefault="008D7F3E">
      <w:pPr>
        <w:pStyle w:val="BodyText"/>
        <w:spacing w:before="1" w:line="360" w:lineRule="auto"/>
        <w:ind w:right="546" w:firstLine="720"/>
        <w:jc w:val="both"/>
      </w:pPr>
      <w:r>
        <w:t xml:space="preserve">Pri analýze epidemiologickej situácie ochorenia COVID-19 vo svete po máji 2021 bol po krátkodobom poklese počtu pacientov </w:t>
      </w:r>
      <w:r w:rsidR="00525EBE">
        <w:t>zistený</w:t>
      </w:r>
      <w:r>
        <w:t xml:space="preserve"> nárast ochorenia COVID-19. Medzi novými prípadmi v období od augusta 2021 do konca roku 2021 bol hlavnou príčinou ochorenia</w:t>
      </w:r>
      <w:r>
        <w:t xml:space="preserve"> delta variant vírusu SARS-CoV-2, pričom ochorenie bolo diagnostikované väčšinou u neočkovaných osôb.</w:t>
      </w:r>
      <w:r w:rsidR="00E277CB">
        <w:t xml:space="preserve"> </w:t>
      </w:r>
      <w:r>
        <w:t xml:space="preserve">V posledných týždňoch roku 2021 sa objavil a preniesol nový </w:t>
      </w:r>
      <w:proofErr w:type="spellStart"/>
      <w:r w:rsidR="00F576F7">
        <w:t>omikron</w:t>
      </w:r>
      <w:proofErr w:type="spellEnd"/>
      <w:r>
        <w:t xml:space="preserve"> variant vírusu SARS-CoV-2, čo začiatkom roku 2022 opäť viedlo k zvýšeniu výskytu C</w:t>
      </w:r>
      <w:r>
        <w:t>OVID-19.</w:t>
      </w:r>
      <w:r w:rsidR="00E277CB">
        <w:t xml:space="preserve"> </w:t>
      </w:r>
      <w:r>
        <w:t xml:space="preserve">V súčasnosti v našej populácii cirkulujú oba varianty, delta aj </w:t>
      </w:r>
      <w:proofErr w:type="spellStart"/>
      <w:r w:rsidR="00F576F7">
        <w:t>omikron</w:t>
      </w:r>
      <w:proofErr w:type="spellEnd"/>
      <w:r>
        <w:t xml:space="preserve">, a najnovšie neoficiálne údaje z januára 2022 naznačujú, že 80 % pacientov s COVID-19 má izolovaný </w:t>
      </w:r>
      <w:proofErr w:type="spellStart"/>
      <w:r w:rsidR="00F576F7">
        <w:t>omikron</w:t>
      </w:r>
      <w:proofErr w:type="spellEnd"/>
      <w:r>
        <w:t xml:space="preserve"> variant vírusu SARS-CoV-2. </w:t>
      </w:r>
    </w:p>
    <w:p w:rsidR="00170306" w:rsidRDefault="008D7F3E" w:rsidP="00525EBE">
      <w:pPr>
        <w:pStyle w:val="BodyText"/>
        <w:spacing w:line="360" w:lineRule="auto"/>
        <w:ind w:right="542" w:firstLine="780"/>
        <w:jc w:val="both"/>
      </w:pPr>
      <w:r>
        <w:t>Pokiaľ ide o delta variant vírusu SA</w:t>
      </w:r>
      <w:r>
        <w:t>RS-CoV-2, výsledky štúdie ukázali, že delta variant vírusu bol o viac ako 60 % nákazlivejší ako predchádzajúce, skôr</w:t>
      </w:r>
      <w:r w:rsidR="00E277CB">
        <w:t xml:space="preserve"> </w:t>
      </w:r>
      <w:r>
        <w:t>z</w:t>
      </w:r>
      <w:r>
        <w:t>náme varianty. Zistilo sa, že v delta variante bola inkubačná doba skrátená, takže maxi</w:t>
      </w:r>
      <w:r>
        <w:t>málna inkubačná doba bola odhadnutá na 11,5 dňa a bola pozorovaná vyššia vírusová záťaž a predĺžené trvanie vylučovania vírusu</w:t>
      </w:r>
      <w:r>
        <w:t xml:space="preserve"> až na 18 dní.</w:t>
      </w:r>
      <w:r w:rsidR="00E277CB">
        <w:t xml:space="preserve"> </w:t>
      </w:r>
      <w:r>
        <w:t>Bolo zistené, že osoby infikované delta variantom sú najviac nákazlivé počas skorých štádií infekcie, 2,1 dňa pre</w:t>
      </w:r>
      <w:r>
        <w:t>d nástupom symptómov</w:t>
      </w:r>
      <w:r>
        <w:t xml:space="preserve"> a že si udržujú vysokú vírusovú záťaž a infekčnosť až do 7. dňa po nástupe symptómov. Výsledky predchádzajúcich štúdií naznačujú, že u pacientov s miernymi až stredne závažnými príznakmi COVID-19 je menej pravdepodobné, že budú nákazl</w:t>
      </w:r>
      <w:r>
        <w:t xml:space="preserve">iví viac ako 10 dní po nástupe </w:t>
      </w:r>
      <w:r>
        <w:lastRenderedPageBreak/>
        <w:t xml:space="preserve">príznakov. </w:t>
      </w:r>
    </w:p>
    <w:p w:rsidR="00170306" w:rsidRDefault="008D7F3E">
      <w:pPr>
        <w:pStyle w:val="BodyText"/>
        <w:spacing w:before="2" w:line="360" w:lineRule="auto"/>
        <w:ind w:right="547" w:firstLine="720"/>
        <w:jc w:val="both"/>
      </w:pPr>
      <w:r>
        <w:t xml:space="preserve">Nedávne štúdie o delta variante SARS-CoV-2 ukazujú, že riziko infekcie je nižšie u plne zaočkovaných osôb. </w:t>
      </w:r>
      <w:r>
        <w:t>Ak dôjde k infekcii, vírusová záťaž je podobná u očkovaných a neočkovaných osôb, hoci sa zistilo, že u o</w:t>
      </w:r>
      <w:r>
        <w:t xml:space="preserve">čkovaných osôb klesá rýchlejšie. Pozorovacie štúdie ukázali, že obrana imunitného systému proti COVID-19 klesá po 5 mesiacoch od kompletného očkovania, ale vakcína je stále účinná v prevencii hospitalizácie a rozvoja závažných ochorení. </w:t>
      </w:r>
    </w:p>
    <w:p w:rsidR="00170306" w:rsidRDefault="008D7F3E">
      <w:pPr>
        <w:pStyle w:val="BodyText"/>
        <w:spacing w:line="274" w:lineRule="exact"/>
        <w:ind w:left="1192"/>
        <w:jc w:val="both"/>
      </w:pPr>
      <w:r>
        <w:t>Od 24. novembra, k</w:t>
      </w:r>
      <w:r>
        <w:t>edy bola v Južnej Afrike prvýkrát potvrdená infekcia novým</w:t>
      </w:r>
    </w:p>
    <w:p w:rsidR="00170306" w:rsidRDefault="008D7F3E">
      <w:pPr>
        <w:pStyle w:val="BodyText"/>
        <w:spacing w:before="139" w:line="360" w:lineRule="auto"/>
        <w:ind w:right="544"/>
        <w:jc w:val="both"/>
      </w:pPr>
      <w:r>
        <w:t xml:space="preserve">B.1.1.529 variantom vírusu SARS-CoV-2, nazývaným </w:t>
      </w:r>
      <w:proofErr w:type="spellStart"/>
      <w:r w:rsidR="00F576F7">
        <w:t>omikron</w:t>
      </w:r>
      <w:proofErr w:type="spellEnd"/>
      <w:r>
        <w:t xml:space="preserve"> a označeným ako VOC (</w:t>
      </w:r>
      <w:proofErr w:type="spellStart"/>
      <w:r>
        <w:t>Variants</w:t>
      </w:r>
      <w:proofErr w:type="spellEnd"/>
      <w:r>
        <w:t xml:space="preserve"> of </w:t>
      </w:r>
      <w:proofErr w:type="spellStart"/>
      <w:r>
        <w:t>Concern</w:t>
      </w:r>
      <w:proofErr w:type="spellEnd"/>
      <w:r>
        <w:t>), existuje len málo údajov, ktoré by plne vysvetľovali virologické, klinické a epidemiologické char</w:t>
      </w:r>
      <w:r>
        <w:t>akteristiky tohto variantu. Sledovaním počtu pacientov a hospita</w:t>
      </w:r>
      <w:r w:rsidR="00F576F7">
        <w:t xml:space="preserve">lizovaných v krajinách, kde je </w:t>
      </w:r>
      <w:proofErr w:type="spellStart"/>
      <w:r w:rsidR="00F576F7">
        <w:t>omikron</w:t>
      </w:r>
      <w:proofErr w:type="spellEnd"/>
      <w:r>
        <w:t xml:space="preserve"> dominantným variantom izolovaným u pacientov s COVID-19, sa dospelo k záveru, že tento variant je nákazlivejší, a preto sa šíri rýchlejšie ako predchádza</w:t>
      </w:r>
      <w:r>
        <w:t>júci delta variant, a že závažnosť klinického obrazu je rovnaká alebo o niečo miernejšia ako klinický obraz pozorovaný v predchádzajúcich variantoch.</w:t>
      </w:r>
      <w:r w:rsidR="00E277CB">
        <w:t xml:space="preserve"> </w:t>
      </w:r>
      <w:r>
        <w:t xml:space="preserve">Pre variant </w:t>
      </w:r>
      <w:proofErr w:type="spellStart"/>
      <w:r w:rsidR="00F576F7">
        <w:t>omikron</w:t>
      </w:r>
      <w:proofErr w:type="spellEnd"/>
      <w:r>
        <w:t xml:space="preserve"> sa údaje stále zhromažďujú a analyzujú a niektoré správy naznačujú, že v porovnaní s </w:t>
      </w:r>
      <w:r>
        <w:t xml:space="preserve">predchádzajúcimi variantmi má </w:t>
      </w:r>
      <w:proofErr w:type="spellStart"/>
      <w:r w:rsidR="00F576F7">
        <w:t>omikron</w:t>
      </w:r>
      <w:proofErr w:type="spellEnd"/>
      <w:r>
        <w:t xml:space="preserve"> kratšiu inkubačnú dobu (2-4 dni). </w:t>
      </w:r>
    </w:p>
    <w:p w:rsidR="00170306" w:rsidRDefault="008D7F3E" w:rsidP="00525EBE">
      <w:pPr>
        <w:pStyle w:val="BodyText"/>
        <w:spacing w:line="360" w:lineRule="auto"/>
        <w:ind w:right="544" w:firstLine="720"/>
        <w:jc w:val="both"/>
      </w:pPr>
      <w:r>
        <w:t xml:space="preserve">Štúdia v Spojenom kráľovstve, ktorá analyzovala 236 023 prípadov COVID-19 spôsobených delta variantom a 760 647 prípadov COVID-19 spôsobených </w:t>
      </w:r>
      <w:proofErr w:type="spellStart"/>
      <w:r w:rsidR="00F576F7">
        <w:t>omikron</w:t>
      </w:r>
      <w:proofErr w:type="spellEnd"/>
      <w:r>
        <w:t xml:space="preserve"> variantom, ukázala, že účinno</w:t>
      </w:r>
      <w:r>
        <w:t xml:space="preserve">sť vakcín proti COVID-19 proti </w:t>
      </w:r>
      <w:proofErr w:type="spellStart"/>
      <w:r w:rsidR="00F576F7">
        <w:t>omikron</w:t>
      </w:r>
      <w:proofErr w:type="spellEnd"/>
      <w:r>
        <w:t xml:space="preserve"> variantu bola nižšia v porovnaní s delta variantom. </w:t>
      </w:r>
      <w:r>
        <w:t xml:space="preserve">U tých, ktorí dostali dve dávky Astra </w:t>
      </w:r>
      <w:proofErr w:type="spellStart"/>
      <w:r>
        <w:t>Zeneca</w:t>
      </w:r>
      <w:proofErr w:type="spellEnd"/>
      <w:r>
        <w:t xml:space="preserve">, sa účinnosť vakcíny znížila zo 45 % – 50 % na takmer 0 % proti </w:t>
      </w:r>
      <w:proofErr w:type="spellStart"/>
      <w:r w:rsidR="00F576F7">
        <w:t>omikron</w:t>
      </w:r>
      <w:proofErr w:type="spellEnd"/>
      <w:r>
        <w:t xml:space="preserve"> variantu po 20 týždňoch od druhej dáv</w:t>
      </w:r>
      <w:r>
        <w:t xml:space="preserve">ky. </w:t>
      </w:r>
      <w:r>
        <w:t xml:space="preserve">U tých, ktorí dostali dve dávky </w:t>
      </w:r>
      <w:proofErr w:type="spellStart"/>
      <w:r>
        <w:t>Phaser</w:t>
      </w:r>
      <w:proofErr w:type="spellEnd"/>
      <w:r>
        <w:t xml:space="preserve"> ale</w:t>
      </w:r>
      <w:r w:rsidR="00F576F7">
        <w:t>b</w:t>
      </w:r>
      <w:r>
        <w:t>o Moderna, sa účinnosť vakcíny znížila z asi 65 % – 70 % na takmer 10% po 20 týždňoch od druhej dávky. Dva až štyri týždne po tretej posilňovacej dávke sa účinnosť vakcíny zvýši na približne 65 % -75 % a v ob</w:t>
      </w:r>
      <w:r>
        <w:t>dobí od 5 do 9 týždňov sa opäť zníži na 55 % -65 % a po 10 týždňoch na 45 %. -50 %.</w:t>
      </w:r>
      <w:r w:rsidR="00E277CB">
        <w:t xml:space="preserve"> </w:t>
      </w:r>
      <w:r>
        <w:t xml:space="preserve">Pokiaľ ide o hospitalizáciu, ukázalo sa, že jedna dávka vakcíny je spojená so 43 % znížením rizika hospitalizácie v symptomatických prípadoch COVID-19 spôsobených </w:t>
      </w:r>
      <w:proofErr w:type="spellStart"/>
      <w:r w:rsidR="00F576F7">
        <w:t>omikron</w:t>
      </w:r>
      <w:proofErr w:type="spellEnd"/>
      <w:r>
        <w:t xml:space="preserve"> variantom, dve dávky vakcíny znížili riziko hospitalizácie o 55 % do 24 týždňov po druhej dávke vakcíny a 40 % počas 25 týždňov alebo dlhšie po druhej dávke vakcíny, zatiaľ čo tretia dávka vakcíny bola</w:t>
      </w:r>
      <w:r w:rsidR="00525EBE">
        <w:t xml:space="preserve"> </w:t>
      </w:r>
      <w:r>
        <w:t>s</w:t>
      </w:r>
      <w:r>
        <w:t>pojen</w:t>
      </w:r>
      <w:r w:rsidR="00525EBE">
        <w:t>á</w:t>
      </w:r>
      <w:r>
        <w:t xml:space="preserve"> so 74 % znížením rizika hospitalizácie 2 až 4 týždne po očkovaní, s miernym znížením účinnosti na 66 % po 10 alebo viacerých týždňoch posilňovacej dávky. </w:t>
      </w:r>
      <w:r>
        <w:t>V kombinácii s účinnosťou vakcíny proti symptomatického ochorenia je celková účinnosť vakcíny</w:t>
      </w:r>
      <w:r>
        <w:t xml:space="preserve"> dva alebo viac týždňov po posilňovacej dávke 89 %. </w:t>
      </w:r>
    </w:p>
    <w:p w:rsidR="00170306" w:rsidRDefault="008D7F3E">
      <w:pPr>
        <w:pStyle w:val="BodyText"/>
        <w:spacing w:before="1" w:line="360" w:lineRule="auto"/>
        <w:ind w:right="544" w:firstLine="720"/>
        <w:jc w:val="both"/>
      </w:pPr>
      <w:r>
        <w:t xml:space="preserve">Pokiaľ ide o </w:t>
      </w:r>
      <w:proofErr w:type="spellStart"/>
      <w:r>
        <w:t>reinfekciu</w:t>
      </w:r>
      <w:proofErr w:type="spellEnd"/>
      <w:r>
        <w:t>, riziko následnej infekcie a ďalšieho prenosu alfa variantu SARS-CoV-2 u tých, ktorí boli predtým diagnostikovaní COVID-19, je nízke (absolútna miera:</w:t>
      </w:r>
      <w:r w:rsidR="00E277CB">
        <w:t xml:space="preserve"> </w:t>
      </w:r>
      <w:r>
        <w:t>0–1,1 %) s ochranou zachova</w:t>
      </w:r>
      <w:r>
        <w:t xml:space="preserve">nou až 10 mesiacov po počiatočnej infekcii. </w:t>
      </w:r>
      <w:r>
        <w:t>Riziko opätovnej infekcie delta variantom SARS-CoV-2 v porovnaní s predchádzajúcim alfa variantom je však o 46 % vyššie u tých, u ktorých od predchádzajúcej infekcie ubehlo ≥180 dní od a v absolútnom vyjadrení r</w:t>
      </w:r>
      <w:r>
        <w:t xml:space="preserve">iziko </w:t>
      </w:r>
      <w:proofErr w:type="spellStart"/>
      <w:r>
        <w:t>reinfekcie</w:t>
      </w:r>
      <w:proofErr w:type="spellEnd"/>
      <w:r>
        <w:t xml:space="preserve"> delta variantom je stále nízka, okolo 1 %. Nová správa (Správa 49)</w:t>
      </w:r>
      <w:r>
        <w:t xml:space="preserve">, ktorú uverejnil </w:t>
      </w:r>
      <w:proofErr w:type="spellStart"/>
      <w:r>
        <w:t>Imperial</w:t>
      </w:r>
      <w:proofErr w:type="spellEnd"/>
      <w:r>
        <w:t xml:space="preserve"> </w:t>
      </w:r>
      <w:proofErr w:type="spellStart"/>
      <w:r>
        <w:t>College</w:t>
      </w:r>
      <w:proofErr w:type="spellEnd"/>
      <w:r>
        <w:t xml:space="preserve"> </w:t>
      </w:r>
      <w:proofErr w:type="spellStart"/>
      <w:r>
        <w:t>London</w:t>
      </w:r>
      <w:proofErr w:type="spellEnd"/>
      <w:r>
        <w:t xml:space="preserve"> odhaduje, </w:t>
      </w:r>
      <w:r>
        <w:lastRenderedPageBreak/>
        <w:t xml:space="preserve">že riziko opätovnej infekcie </w:t>
      </w:r>
      <w:proofErr w:type="spellStart"/>
      <w:r w:rsidR="00F576F7">
        <w:t>omikron</w:t>
      </w:r>
      <w:proofErr w:type="spellEnd"/>
      <w:r>
        <w:t xml:space="preserve"> variantom je 5,4-krát vyššie ako pri delta variante.</w:t>
      </w:r>
      <w:r w:rsidR="00E277CB">
        <w:t xml:space="preserve"> </w:t>
      </w:r>
      <w:r>
        <w:t>To znamená, že ochrana pr</w:t>
      </w:r>
      <w:r>
        <w:t xml:space="preserve">oti </w:t>
      </w:r>
      <w:proofErr w:type="spellStart"/>
      <w:r w:rsidR="00F576F7">
        <w:t>omikron</w:t>
      </w:r>
      <w:proofErr w:type="spellEnd"/>
      <w:r>
        <w:t xml:space="preserve"> </w:t>
      </w:r>
      <w:proofErr w:type="spellStart"/>
      <w:r>
        <w:t>reinfekcii</w:t>
      </w:r>
      <w:proofErr w:type="spellEnd"/>
      <w:r>
        <w:t xml:space="preserve">, ktorú poskytuje predchádzajúca infekcia, môže byť približne 19 %. </w:t>
      </w:r>
    </w:p>
    <w:p w:rsidR="00170306" w:rsidRDefault="008D7F3E">
      <w:pPr>
        <w:pStyle w:val="BodyText"/>
        <w:spacing w:before="1" w:line="360" w:lineRule="auto"/>
        <w:ind w:right="545" w:firstLine="720"/>
        <w:jc w:val="both"/>
      </w:pPr>
      <w:r>
        <w:t xml:space="preserve">V súlade s najnovšími informáciami o COVID-19 variante </w:t>
      </w:r>
      <w:proofErr w:type="spellStart"/>
      <w:r w:rsidR="00F576F7">
        <w:t>omikron</w:t>
      </w:r>
      <w:proofErr w:type="spellEnd"/>
      <w:r>
        <w:t xml:space="preserve"> sa Centrá pre kontrolu a prevenciu chorôb v Atlante rozhodli skrátiť odporúčané trvanie izolácie p</w:t>
      </w:r>
      <w:r>
        <w:t>re pacientov s COVID-19, ako aj karanténne opatrenia pre osoby, ktoré boli v úzkom kontakte s osobou</w:t>
      </w:r>
      <w:r w:rsidR="00E277CB">
        <w:t xml:space="preserve"> </w:t>
      </w:r>
      <w:r>
        <w:t>infikovanou od COVID-19 po dobu 5 dní v domácich podmienkach, s ďalšími 5 dňami nepretržitého nosenia rúška v blízkosti iných, aby sa znížilo riziko infek</w:t>
      </w:r>
      <w:r>
        <w:t>cie. Zmena bola motivovaná údajmi z literatúry, ktoré ukazujú, že k väčšine prenosu vírusu SARS-CoV-2 dochádza v ranom štádiu ochorenia, zvyčajne 1-2 dni pred nástupom symptómov a 2-3 dni po nástupe symptómov.</w:t>
      </w:r>
      <w:r w:rsidR="00E277CB">
        <w:t xml:space="preserve"> </w:t>
      </w:r>
      <w:r>
        <w:t>Podobné rozhodnutie urobili aj iné krajiny, n</w:t>
      </w:r>
      <w:r>
        <w:t xml:space="preserve">apríklad vo Veľkej Británii trvá obdobie izolácie a karanténnych opatrení 10 dní s možnosťou skrátenia na 7 dní, ak je človek negatívny na dva po sebe nasledujúce rýchle antigénne testy a to 6 </w:t>
      </w:r>
      <w:r>
        <w:t>a 7</w:t>
      </w:r>
      <w:r>
        <w:t xml:space="preserve"> dni izolácie alebo karantény. </w:t>
      </w:r>
      <w:r>
        <w:t xml:space="preserve">Vo Francúzsku a Japonsku </w:t>
      </w:r>
      <w:r>
        <w:t xml:space="preserve">je doba izolácie </w:t>
      </w:r>
      <w:r w:rsidR="00E277CB">
        <w:t>stanovená na 10 dní, na Novom Zé</w:t>
      </w:r>
      <w:r>
        <w:t>lande je to 10 dní, ak je osoba plne zaočkovaná (vrátane 72 hodín bez príznakov), ale 14 dní, ak osoba nie je zaočkovaná (opäť vrátane 72 hodín bez príznakov). Nemecko, Jordánsko a Brazília dodržiavajú odpor</w:t>
      </w:r>
      <w:r>
        <w:t xml:space="preserve">účanú 14-dňovú izoláciu, ktorú navrhuje Svetová zdravotnícka organizácia. </w:t>
      </w:r>
    </w:p>
    <w:p w:rsidR="00170306" w:rsidRDefault="008D7F3E">
      <w:pPr>
        <w:pStyle w:val="BodyText"/>
        <w:spacing w:line="360" w:lineRule="auto"/>
        <w:ind w:right="547" w:firstLine="720"/>
        <w:jc w:val="both"/>
      </w:pPr>
      <w:r>
        <w:t>Monitorovanie kontaktov je kľúčom k spomaleniu šírenia SARS-CoV-2 a ochrane zdravia jednotlivcov, rodín a komunity.</w:t>
      </w:r>
      <w:r w:rsidR="00E277CB">
        <w:t xml:space="preserve"> </w:t>
      </w:r>
      <w:r>
        <w:t>Cieľom identifikácie a monitorovania blízkych kontaktov osôb s d</w:t>
      </w:r>
      <w:r>
        <w:t xml:space="preserve">iagnózou COVID-19 je včasná diagnostika a zastavenie ďalšieho prenosu SARS-CoV-2 rýchlou identifikáciou a izoláciou všetkých sekundárnych prípadov COVID-19, ktoré sa môžu vyskytnúť po prenose z primárnych prípadov. </w:t>
      </w:r>
    </w:p>
    <w:p w:rsidR="00170306" w:rsidRDefault="008D7F3E">
      <w:pPr>
        <w:pStyle w:val="BodyText"/>
        <w:spacing w:before="2"/>
        <w:ind w:left="1252"/>
        <w:jc w:val="both"/>
      </w:pPr>
      <w:r>
        <w:t>Identifikácia a sledovanie kontaktu umož</w:t>
      </w:r>
      <w:r>
        <w:t xml:space="preserve">ňuje: </w:t>
      </w:r>
    </w:p>
    <w:p w:rsidR="00E277CB" w:rsidRDefault="008D7F3E" w:rsidP="00E914D7">
      <w:pPr>
        <w:pStyle w:val="ListParagraph"/>
        <w:numPr>
          <w:ilvl w:val="0"/>
          <w:numId w:val="1"/>
        </w:numPr>
        <w:tabs>
          <w:tab w:val="left" w:pos="1193"/>
        </w:tabs>
        <w:spacing w:before="73" w:line="357" w:lineRule="auto"/>
        <w:ind w:right="546"/>
        <w:rPr>
          <w:sz w:val="24"/>
        </w:rPr>
      </w:pPr>
      <w:r w:rsidRPr="00E277CB">
        <w:rPr>
          <w:sz w:val="24"/>
        </w:rPr>
        <w:t xml:space="preserve">včasná identifikácia kontaktov s pacientmi COVID-19; </w:t>
      </w:r>
    </w:p>
    <w:p w:rsidR="00170306" w:rsidRPr="00E277CB" w:rsidRDefault="008D7F3E" w:rsidP="00E914D7">
      <w:pPr>
        <w:pStyle w:val="ListParagraph"/>
        <w:numPr>
          <w:ilvl w:val="0"/>
          <w:numId w:val="1"/>
        </w:numPr>
        <w:tabs>
          <w:tab w:val="left" w:pos="1193"/>
        </w:tabs>
        <w:spacing w:before="73" w:line="357" w:lineRule="auto"/>
        <w:ind w:right="546"/>
        <w:rPr>
          <w:sz w:val="24"/>
        </w:rPr>
      </w:pPr>
      <w:r w:rsidRPr="00E277CB">
        <w:rPr>
          <w:sz w:val="24"/>
        </w:rPr>
        <w:t>o</w:t>
      </w:r>
      <w:r w:rsidRPr="00E277CB">
        <w:rPr>
          <w:sz w:val="24"/>
        </w:rPr>
        <w:t>dporúčanie osobám postihnutým COVID-19, aby sa bezpečne izolovali; informovať tých, ktorí boli v úzkom kontakte s niekým, komu bol diagnostikova</w:t>
      </w:r>
      <w:r w:rsidRPr="00E277CB">
        <w:rPr>
          <w:sz w:val="24"/>
        </w:rPr>
        <w:t>ný COVID-19, o ich expozícii a možnom riziku vzniku ochorenia, o potrebe domácej karantény, správnej hygiene rúk a dýchacích cestách, ako aj o tom, čo robiť v prípade príznakov ochorenia objaví sa choroba;</w:t>
      </w:r>
    </w:p>
    <w:p w:rsidR="00170306" w:rsidRDefault="008D7F3E">
      <w:pPr>
        <w:pStyle w:val="ListParagraph"/>
        <w:numPr>
          <w:ilvl w:val="0"/>
          <w:numId w:val="1"/>
        </w:numPr>
        <w:tabs>
          <w:tab w:val="left" w:pos="1193"/>
        </w:tabs>
        <w:spacing w:before="5" w:line="355" w:lineRule="auto"/>
        <w:ind w:right="551"/>
        <w:rPr>
          <w:sz w:val="24"/>
        </w:rPr>
      </w:pPr>
      <w:r>
        <w:rPr>
          <w:sz w:val="24"/>
        </w:rPr>
        <w:t>poskytovanie rád osobám, ktoré boli v úzkom kontak</w:t>
      </w:r>
      <w:r>
        <w:rPr>
          <w:sz w:val="24"/>
        </w:rPr>
        <w:t xml:space="preserve">te s niekým s diagnózou COVID-19, o krokoch, ktoré musia podniknúť v závislosti od ich </w:t>
      </w:r>
      <w:proofErr w:type="spellStart"/>
      <w:r>
        <w:rPr>
          <w:sz w:val="24"/>
        </w:rPr>
        <w:t>zaočkovanosti</w:t>
      </w:r>
      <w:proofErr w:type="spellEnd"/>
      <w:r>
        <w:rPr>
          <w:sz w:val="24"/>
        </w:rPr>
        <w:t xml:space="preserve"> a predchádzajúcej infekcie SARS-CoV-2;</w:t>
      </w:r>
    </w:p>
    <w:p w:rsidR="00170306" w:rsidRDefault="008D7F3E">
      <w:pPr>
        <w:pStyle w:val="ListParagraph"/>
        <w:numPr>
          <w:ilvl w:val="0"/>
          <w:numId w:val="1"/>
        </w:numPr>
        <w:tabs>
          <w:tab w:val="left" w:pos="1193"/>
        </w:tabs>
        <w:spacing w:before="6"/>
        <w:rPr>
          <w:sz w:val="24"/>
        </w:rPr>
      </w:pPr>
      <w:r>
        <w:rPr>
          <w:sz w:val="24"/>
        </w:rPr>
        <w:t xml:space="preserve">testovanie všetkých kontaktov, ktoré sa stanú symptomatickými. </w:t>
      </w:r>
    </w:p>
    <w:p w:rsidR="00170306" w:rsidRDefault="008D7F3E">
      <w:pPr>
        <w:pStyle w:val="BodyText"/>
        <w:spacing w:before="138" w:line="360" w:lineRule="auto"/>
        <w:ind w:right="545" w:firstLine="360"/>
        <w:jc w:val="both"/>
      </w:pPr>
      <w:r>
        <w:t>Aby bolo sledovanie kontaktov efektívne, identifikác</w:t>
      </w:r>
      <w:r>
        <w:t>ia kontaktu musí byť rýchla.</w:t>
      </w:r>
      <w:r w:rsidR="00E277CB">
        <w:t xml:space="preserve"> </w:t>
      </w:r>
      <w:r>
        <w:t>Podľa odporúčaní Európskeho centra pre kontrolu a prevenciu chorôb by mala každá krajina prispôsobiť sledovanie kontaktov svojej miestnej epidemiologickej situácii a dostupným zdrojom, predovšetkým ľudským kapacitám.</w:t>
      </w:r>
      <w:r w:rsidR="00E277CB">
        <w:t xml:space="preserve"> </w:t>
      </w:r>
      <w:r>
        <w:t>Aj keď n</w:t>
      </w:r>
      <w:r>
        <w:t>ie sú identifikované a sledované všetky kontakty v každom prípade, sledovanie kontaktov sa stále považuje za príspevok k zníženiu prenosu v kombinácii s inými nefarmaceutickými opatreniami.</w:t>
      </w:r>
      <w:r w:rsidR="00E277CB">
        <w:t xml:space="preserve"> </w:t>
      </w:r>
      <w:r>
        <w:t>V situáciách obmedzených zdrojov by sa monitorovanie kontaktov ma</w:t>
      </w:r>
      <w:r>
        <w:t xml:space="preserve">lo vždy zamerať na pokrytie aspoň prípadov vyskytujúcich sa vo vysoko rizikovom prostredí, ako sú zariadenia sociálnej starostlivosti pre starších ľudí, nemocnice a iné zdravotnícke zariadenia, pracovné organizácie, väznice a </w:t>
      </w:r>
      <w:r>
        <w:lastRenderedPageBreak/>
        <w:t>utečenecké tábory, aby sa zmie</w:t>
      </w:r>
      <w:r>
        <w:t>rnil vplyv COVID-19 na zraniteľné skupiny obyvateľstva.</w:t>
      </w:r>
    </w:p>
    <w:p w:rsidR="00170306" w:rsidRDefault="00170306">
      <w:pPr>
        <w:pStyle w:val="BodyText"/>
        <w:ind w:left="0"/>
        <w:rPr>
          <w:sz w:val="36"/>
        </w:rPr>
      </w:pPr>
    </w:p>
    <w:p w:rsidR="00170306" w:rsidRDefault="008D7F3E">
      <w:pPr>
        <w:spacing w:after="6" w:line="360" w:lineRule="auto"/>
        <w:ind w:left="472" w:right="844"/>
        <w:rPr>
          <w:i/>
          <w:sz w:val="24"/>
        </w:rPr>
      </w:pPr>
      <w:r>
        <w:rPr>
          <w:sz w:val="24"/>
        </w:rPr>
        <w:t>Tabuľka 1 Klasifikácia kontaktu na základe úrovní expozície (Zdroj:</w:t>
      </w:r>
      <w:r w:rsidR="00E277CB">
        <w:rPr>
          <w:sz w:val="24"/>
        </w:rPr>
        <w:t xml:space="preserve"> </w:t>
      </w:r>
      <w:proofErr w:type="spellStart"/>
      <w:r>
        <w:rPr>
          <w:i/>
          <w:sz w:val="24"/>
        </w:rPr>
        <w:t>European</w:t>
      </w:r>
      <w:proofErr w:type="spellEnd"/>
      <w:r>
        <w:rPr>
          <w:i/>
          <w:sz w:val="24"/>
        </w:rPr>
        <w:t xml:space="preserve"> Center </w:t>
      </w:r>
      <w:proofErr w:type="spellStart"/>
      <w:r>
        <w:rPr>
          <w:i/>
          <w:sz w:val="24"/>
        </w:rPr>
        <w:t>for</w:t>
      </w:r>
      <w:proofErr w:type="spellEnd"/>
      <w:r>
        <w:rPr>
          <w:i/>
          <w:sz w:val="24"/>
        </w:rPr>
        <w:t xml:space="preserve"> </w:t>
      </w:r>
      <w:proofErr w:type="spellStart"/>
      <w:r>
        <w:rPr>
          <w:i/>
          <w:sz w:val="24"/>
        </w:rPr>
        <w:t>Disease</w:t>
      </w:r>
      <w:proofErr w:type="spellEnd"/>
      <w:r>
        <w:rPr>
          <w:i/>
          <w:sz w:val="24"/>
        </w:rPr>
        <w:t xml:space="preserve"> </w:t>
      </w:r>
      <w:proofErr w:type="spellStart"/>
      <w:r>
        <w:rPr>
          <w:i/>
          <w:sz w:val="24"/>
        </w:rPr>
        <w:t>Prevention</w:t>
      </w:r>
      <w:proofErr w:type="spellEnd"/>
      <w:r>
        <w:rPr>
          <w:i/>
          <w:sz w:val="24"/>
        </w:rPr>
        <w:t xml:space="preserve"> and </w:t>
      </w:r>
      <w:proofErr w:type="spellStart"/>
      <w:r>
        <w:rPr>
          <w:i/>
          <w:sz w:val="24"/>
        </w:rPr>
        <w:t>Contact</w:t>
      </w:r>
      <w:proofErr w:type="spellEnd"/>
      <w:r>
        <w:rPr>
          <w:i/>
          <w:sz w:val="24"/>
        </w:rPr>
        <w:t xml:space="preserve">. </w:t>
      </w:r>
      <w:proofErr w:type="spellStart"/>
      <w:r>
        <w:rPr>
          <w:i/>
          <w:sz w:val="24"/>
        </w:rPr>
        <w:t>Contact</w:t>
      </w:r>
      <w:proofErr w:type="spellEnd"/>
      <w:r>
        <w:rPr>
          <w:i/>
          <w:sz w:val="24"/>
        </w:rPr>
        <w:t xml:space="preserve"> </w:t>
      </w:r>
      <w:proofErr w:type="spellStart"/>
      <w:r>
        <w:rPr>
          <w:i/>
          <w:sz w:val="24"/>
        </w:rPr>
        <w:t>tracing</w:t>
      </w:r>
      <w:proofErr w:type="spellEnd"/>
      <w:r>
        <w:rPr>
          <w:i/>
          <w:sz w:val="24"/>
        </w:rPr>
        <w:t xml:space="preserve"> </w:t>
      </w:r>
      <w:proofErr w:type="spellStart"/>
      <w:r>
        <w:rPr>
          <w:i/>
          <w:sz w:val="24"/>
        </w:rPr>
        <w:t>for</w:t>
      </w:r>
      <w:proofErr w:type="spellEnd"/>
      <w:r>
        <w:rPr>
          <w:i/>
          <w:sz w:val="24"/>
        </w:rPr>
        <w:t xml:space="preserve"> COVID-19)</w:t>
      </w:r>
    </w:p>
    <w:p w:rsidR="00F37F92" w:rsidRDefault="00F37F92">
      <w:pPr>
        <w:spacing w:after="6" w:line="360" w:lineRule="auto"/>
        <w:ind w:left="472" w:right="844"/>
        <w:rPr>
          <w:i/>
          <w:sz w:val="24"/>
        </w:r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170306">
        <w:trPr>
          <w:trHeight w:val="690"/>
        </w:trPr>
        <w:tc>
          <w:tcPr>
            <w:tcW w:w="4789" w:type="dxa"/>
          </w:tcPr>
          <w:p w:rsidR="00170306" w:rsidRDefault="008D7F3E">
            <w:pPr>
              <w:pStyle w:val="TableParagraph"/>
              <w:spacing w:line="225" w:lineRule="exact"/>
              <w:ind w:left="105"/>
              <w:rPr>
                <w:sz w:val="20"/>
              </w:rPr>
            </w:pPr>
            <w:r>
              <w:rPr>
                <w:sz w:val="20"/>
              </w:rPr>
              <w:t xml:space="preserve">Kontakt s vysokým rizikom v dôsledku expozície </w:t>
            </w:r>
          </w:p>
          <w:p w:rsidR="00170306" w:rsidRDefault="008D7F3E">
            <w:pPr>
              <w:pStyle w:val="TableParagraph"/>
              <w:spacing w:before="113"/>
              <w:ind w:left="105"/>
              <w:rPr>
                <w:sz w:val="20"/>
              </w:rPr>
            </w:pPr>
            <w:r>
              <w:rPr>
                <w:sz w:val="20"/>
              </w:rPr>
              <w:t xml:space="preserve">(úzky kontakt) </w:t>
            </w:r>
          </w:p>
        </w:tc>
        <w:tc>
          <w:tcPr>
            <w:tcW w:w="4789" w:type="dxa"/>
          </w:tcPr>
          <w:p w:rsidR="00170306" w:rsidRDefault="008D7F3E">
            <w:pPr>
              <w:pStyle w:val="TableParagraph"/>
              <w:spacing w:line="225" w:lineRule="exact"/>
              <w:ind w:left="105"/>
              <w:rPr>
                <w:sz w:val="20"/>
              </w:rPr>
            </w:pPr>
            <w:r>
              <w:rPr>
                <w:sz w:val="20"/>
              </w:rPr>
              <w:t>Kontakt s nízkym rizikom v dôsledku expozície</w:t>
            </w:r>
          </w:p>
        </w:tc>
      </w:tr>
      <w:tr w:rsidR="00170306">
        <w:trPr>
          <w:trHeight w:val="5189"/>
        </w:trPr>
        <w:tc>
          <w:tcPr>
            <w:tcW w:w="4789" w:type="dxa"/>
          </w:tcPr>
          <w:p w:rsidR="00170306" w:rsidRDefault="008D7F3E">
            <w:pPr>
              <w:pStyle w:val="TableParagraph"/>
              <w:spacing w:line="360" w:lineRule="auto"/>
              <w:ind w:left="105" w:right="103"/>
              <w:jc w:val="both"/>
              <w:rPr>
                <w:b/>
                <w:sz w:val="20"/>
              </w:rPr>
            </w:pPr>
            <w:r>
              <w:rPr>
                <w:b/>
                <w:sz w:val="20"/>
              </w:rPr>
              <w:t xml:space="preserve">Osoba, ktorá mala jednu alebo viacero z nasledujúcich expozícií: </w:t>
            </w:r>
          </w:p>
          <w:p w:rsidR="00170306" w:rsidRDefault="008D7F3E" w:rsidP="00F37F92">
            <w:pPr>
              <w:pStyle w:val="TableParagraph"/>
              <w:numPr>
                <w:ilvl w:val="0"/>
                <w:numId w:val="6"/>
              </w:numPr>
              <w:tabs>
                <w:tab w:val="left" w:pos="465"/>
              </w:tabs>
              <w:spacing w:line="357" w:lineRule="auto"/>
              <w:ind w:left="270" w:right="101" w:hanging="15"/>
              <w:jc w:val="both"/>
              <w:rPr>
                <w:sz w:val="20"/>
              </w:rPr>
            </w:pPr>
            <w:r>
              <w:rPr>
                <w:sz w:val="20"/>
              </w:rPr>
              <w:t xml:space="preserve">Osobný kontakt s pacientmi s COVID-19 na vzdialenosť menšiu ako dva metre na viac ako 15 minút v priebehu 24 hodín (aj keď nie </w:t>
            </w:r>
            <w:r>
              <w:rPr>
                <w:sz w:val="20"/>
              </w:rPr>
              <w:t xml:space="preserve">po sebe): </w:t>
            </w:r>
          </w:p>
          <w:p w:rsidR="00170306" w:rsidRDefault="008D7F3E">
            <w:pPr>
              <w:pStyle w:val="TableParagraph"/>
              <w:numPr>
                <w:ilvl w:val="0"/>
                <w:numId w:val="5"/>
              </w:numPr>
              <w:tabs>
                <w:tab w:val="left" w:pos="223"/>
              </w:tabs>
              <w:ind w:left="222"/>
              <w:jc w:val="both"/>
              <w:rPr>
                <w:sz w:val="20"/>
              </w:rPr>
            </w:pPr>
            <w:r>
              <w:rPr>
                <w:sz w:val="20"/>
              </w:rPr>
              <w:t xml:space="preserve">Fyzický kontakt s prípadom COVID-19 </w:t>
            </w:r>
          </w:p>
          <w:p w:rsidR="00170306" w:rsidRDefault="008D7F3E">
            <w:pPr>
              <w:pStyle w:val="TableParagraph"/>
              <w:numPr>
                <w:ilvl w:val="0"/>
                <w:numId w:val="5"/>
              </w:numPr>
              <w:tabs>
                <w:tab w:val="left" w:pos="274"/>
              </w:tabs>
              <w:spacing w:before="109" w:line="360" w:lineRule="auto"/>
              <w:ind w:right="104" w:firstLine="0"/>
              <w:jc w:val="both"/>
              <w:rPr>
                <w:sz w:val="20"/>
              </w:rPr>
            </w:pPr>
            <w:r>
              <w:rPr>
                <w:sz w:val="20"/>
              </w:rPr>
              <w:t xml:space="preserve">Priamy kontakt s infekčnými sekrétmi prípadu COVID-19 (napr. pri kašli) </w:t>
            </w:r>
          </w:p>
          <w:p w:rsidR="00170306" w:rsidRDefault="008D7F3E">
            <w:pPr>
              <w:pStyle w:val="TableParagraph"/>
              <w:numPr>
                <w:ilvl w:val="0"/>
                <w:numId w:val="5"/>
              </w:numPr>
              <w:tabs>
                <w:tab w:val="left" w:pos="235"/>
              </w:tabs>
              <w:spacing w:before="1" w:line="360" w:lineRule="auto"/>
              <w:ind w:right="104" w:firstLine="0"/>
              <w:jc w:val="both"/>
              <w:rPr>
                <w:sz w:val="20"/>
              </w:rPr>
            </w:pPr>
            <w:r>
              <w:rPr>
                <w:sz w:val="20"/>
              </w:rPr>
              <w:t>Kontakt vo vnútri (napr. domácnosť, zasadacia miestnosť, nemocničná čakáreň atď.) alebo cestovanie * s nakazeným na COVID-19 na viac ako 15 minút</w:t>
            </w:r>
          </w:p>
          <w:p w:rsidR="00170306" w:rsidRDefault="008D7F3E">
            <w:pPr>
              <w:pStyle w:val="TableParagraph"/>
              <w:numPr>
                <w:ilvl w:val="0"/>
                <w:numId w:val="5"/>
              </w:numPr>
              <w:tabs>
                <w:tab w:val="left" w:pos="245"/>
              </w:tabs>
              <w:ind w:left="244" w:hanging="140"/>
              <w:jc w:val="both"/>
              <w:rPr>
                <w:sz w:val="20"/>
              </w:rPr>
            </w:pPr>
            <w:r>
              <w:rPr>
                <w:sz w:val="20"/>
              </w:rPr>
              <w:t xml:space="preserve">Zdravotnícky pracovník ** alebo iná osoba poskytujúca </w:t>
            </w:r>
          </w:p>
          <w:p w:rsidR="00170306" w:rsidRDefault="008D7F3E" w:rsidP="00F37F92">
            <w:pPr>
              <w:pStyle w:val="TableParagraph"/>
              <w:spacing w:before="6" w:line="340" w:lineRule="atLeast"/>
              <w:ind w:left="105" w:right="98"/>
              <w:jc w:val="both"/>
              <w:rPr>
                <w:sz w:val="20"/>
              </w:rPr>
            </w:pPr>
            <w:r>
              <w:rPr>
                <w:sz w:val="20"/>
              </w:rPr>
              <w:t>priam</w:t>
            </w:r>
            <w:r w:rsidR="00F37F92">
              <w:rPr>
                <w:sz w:val="20"/>
              </w:rPr>
              <w:t>u</w:t>
            </w:r>
            <w:r>
              <w:rPr>
                <w:sz w:val="20"/>
              </w:rPr>
              <w:t xml:space="preserve"> starostlivosť *** prípad COVID-19 alebo laborató</w:t>
            </w:r>
            <w:r>
              <w:rPr>
                <w:sz w:val="20"/>
              </w:rPr>
              <w:t xml:space="preserve">rny pracovník ** ktorý manipuluje so vzorkami </w:t>
            </w:r>
          </w:p>
        </w:tc>
        <w:tc>
          <w:tcPr>
            <w:tcW w:w="4789" w:type="dxa"/>
          </w:tcPr>
          <w:p w:rsidR="00170306" w:rsidRDefault="008D7F3E">
            <w:pPr>
              <w:pStyle w:val="TableParagraph"/>
              <w:spacing w:line="360" w:lineRule="auto"/>
              <w:ind w:left="105" w:right="100"/>
              <w:jc w:val="both"/>
              <w:rPr>
                <w:b/>
                <w:sz w:val="20"/>
              </w:rPr>
            </w:pPr>
            <w:r>
              <w:rPr>
                <w:b/>
                <w:sz w:val="20"/>
              </w:rPr>
              <w:t>O</w:t>
            </w:r>
            <w:r>
              <w:rPr>
                <w:b/>
                <w:sz w:val="20"/>
              </w:rPr>
              <w:t>soba, ktorá mala jednu alebo viacero z nasledujúcich expozícií:</w:t>
            </w:r>
          </w:p>
          <w:p w:rsidR="00170306" w:rsidRDefault="008D7F3E">
            <w:pPr>
              <w:pStyle w:val="TableParagraph"/>
              <w:numPr>
                <w:ilvl w:val="0"/>
                <w:numId w:val="4"/>
              </w:numPr>
              <w:tabs>
                <w:tab w:val="left" w:pos="269"/>
              </w:tabs>
              <w:spacing w:line="357" w:lineRule="auto"/>
              <w:ind w:right="103" w:firstLine="0"/>
              <w:jc w:val="both"/>
              <w:rPr>
                <w:sz w:val="20"/>
              </w:rPr>
            </w:pPr>
            <w:r>
              <w:rPr>
                <w:sz w:val="20"/>
              </w:rPr>
              <w:t>Kontakt tvárou v tvár s pacientom COVID-19 zo vzdialenosti menšej ako dva metre viac ako 15 minút</w:t>
            </w:r>
          </w:p>
          <w:p w:rsidR="00170306" w:rsidRDefault="008D7F3E">
            <w:pPr>
              <w:pStyle w:val="TableParagraph"/>
              <w:numPr>
                <w:ilvl w:val="0"/>
                <w:numId w:val="4"/>
              </w:numPr>
              <w:tabs>
                <w:tab w:val="left" w:pos="281"/>
              </w:tabs>
              <w:spacing w:line="360" w:lineRule="auto"/>
              <w:ind w:right="98" w:firstLine="0"/>
              <w:jc w:val="both"/>
              <w:rPr>
                <w:sz w:val="20"/>
              </w:rPr>
            </w:pPr>
            <w:r>
              <w:rPr>
                <w:sz w:val="20"/>
              </w:rPr>
              <w:t>Kontakt vo vnútri (napr. domácnosť, zasadacia miestnosť, nemocničná čakáreň atď.) alebo cestovanie * s nakazeným na COVID-19 na viac ako 15 minút</w:t>
            </w:r>
          </w:p>
          <w:p w:rsidR="00170306" w:rsidRDefault="008D7F3E" w:rsidP="00F37F92">
            <w:pPr>
              <w:pStyle w:val="TableParagraph"/>
              <w:numPr>
                <w:ilvl w:val="0"/>
                <w:numId w:val="4"/>
              </w:numPr>
              <w:tabs>
                <w:tab w:val="left" w:pos="346"/>
              </w:tabs>
              <w:spacing w:line="360" w:lineRule="auto"/>
              <w:ind w:right="98" w:firstLine="0"/>
              <w:jc w:val="both"/>
              <w:rPr>
                <w:sz w:val="20"/>
              </w:rPr>
            </w:pPr>
            <w:r>
              <w:rPr>
                <w:sz w:val="20"/>
              </w:rPr>
              <w:t>Zdravotnícky pracovník ** alebo iná osoba priamo poskytujúca opatrovateľskú službu *** prípad COVID-19 alebo l</w:t>
            </w:r>
            <w:r>
              <w:rPr>
                <w:sz w:val="20"/>
              </w:rPr>
              <w:t xml:space="preserve">aboratórny pracovník ** manipulujúci so vzorkami prípadu COVID-19, ktorý mal na sebe odporúčanú </w:t>
            </w:r>
            <w:r>
              <w:rPr>
                <w:sz w:val="20"/>
              </w:rPr>
              <w:t xml:space="preserve">osobnú zdravotnú ochranu a vykonali správnu hygienu rúk. </w:t>
            </w:r>
          </w:p>
        </w:tc>
      </w:tr>
    </w:tbl>
    <w:p w:rsidR="00170306" w:rsidRDefault="00170306">
      <w:pPr>
        <w:jc w:val="both"/>
        <w:rPr>
          <w:sz w:val="20"/>
        </w:rPr>
        <w:sectPr w:rsidR="00170306">
          <w:pgSz w:w="11910" w:h="16840"/>
          <w:pgMar w:top="740" w:right="440" w:bottom="280" w:left="38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170306" w:rsidRDefault="008D7F3E">
      <w:pPr>
        <w:pStyle w:val="BodyText"/>
        <w:ind w:left="711"/>
        <w:rPr>
          <w:sz w:val="20"/>
        </w:rPr>
      </w:pPr>
      <w:r>
        <w:rPr>
          <w:sz w:val="20"/>
        </w:rPr>
      </w:r>
      <w:r>
        <w:rPr>
          <w:sz w:val="20"/>
        </w:rPr>
        <w:pict>
          <v:group id="_x0000_s1028" style="width:479.4pt;height:52.85pt;mso-position-horizontal-relative:char;mso-position-vertical-relative:line" coordsize="9588,1057">
            <v:line id="_x0000_s1035" style="position:absolute" from="10,5" to="4789,5" strokeweight=".48pt"/>
            <v:line id="_x0000_s1034" style="position:absolute" from="4799,5" to="9578,5" strokeweight=".48pt"/>
            <v:line id="_x0000_s1033" style="position:absolute" from="10,1052" to="4789,1052" strokeweight=".48pt"/>
            <v:line id="_x0000_s1032" style="position:absolute" from="4794,0" to="4794,1056" strokeweight=".48pt"/>
            <v:line id="_x0000_s1031" style="position:absolute" from="4799,1052" to="9578,1052" strokeweight=".48pt"/>
            <v:line id="_x0000_s1030" style="position:absolute" from="9583,0" to="9583,1056" strokeweight=".48pt"/>
            <v:shapetype id="_x0000_t202" coordsize="21600,21600" o:spt="202" path="m,l,21600r21600,l21600,xe">
              <v:stroke joinstyle="miter"/>
              <v:path gradientshapeok="t" o:connecttype="rect"/>
            </v:shapetype>
            <v:shape id="_x0000_s1029" type="#_x0000_t202" style="position:absolute;left:4;top:4;width:4789;height:1047" filled="f" strokeweight=".48pt">
              <v:textbox inset="0,0,0,0">
                <w:txbxContent>
                  <w:p w:rsidR="00170306" w:rsidRDefault="008D7F3E">
                    <w:pPr>
                      <w:spacing w:line="360" w:lineRule="auto"/>
                      <w:ind w:left="100" w:right="107"/>
                      <w:jc w:val="both"/>
                      <w:rPr>
                        <w:sz w:val="20"/>
                      </w:rPr>
                    </w:pPr>
                    <w:r>
                      <w:rPr>
                        <w:sz w:val="20"/>
                      </w:rPr>
                      <w:t xml:space="preserve">Prípad COVID-19, bez nosenia odporúčaných OZO alebo s možným porušením používania OZO alebo dodržiavania hygieny rúk </w:t>
                    </w:r>
                  </w:p>
                </w:txbxContent>
              </v:textbox>
            </v:shape>
            <w10:wrap type="none"/>
            <w10:anchorlock/>
          </v:group>
        </w:pict>
      </w:r>
    </w:p>
    <w:p w:rsidR="00170306" w:rsidRDefault="00170306">
      <w:pPr>
        <w:pStyle w:val="BodyText"/>
        <w:ind w:left="0"/>
        <w:rPr>
          <w:i/>
          <w:sz w:val="20"/>
        </w:rPr>
      </w:pPr>
    </w:p>
    <w:p w:rsidR="00170306" w:rsidRDefault="00170306">
      <w:pPr>
        <w:pStyle w:val="BodyText"/>
        <w:spacing w:before="3"/>
        <w:ind w:left="0"/>
        <w:rPr>
          <w:i/>
          <w:sz w:val="21"/>
        </w:rPr>
      </w:pPr>
    </w:p>
    <w:p w:rsidR="00170306" w:rsidRDefault="008D7F3E">
      <w:pPr>
        <w:ind w:left="472" w:right="844"/>
        <w:rPr>
          <w:i/>
          <w:sz w:val="24"/>
        </w:rPr>
      </w:pPr>
      <w:r>
        <w:rPr>
          <w:sz w:val="24"/>
        </w:rPr>
        <w:t xml:space="preserve">Tabuľka 2 Odporúčania karantény pre úzke kontakty s prípadmi COVID-19 a </w:t>
      </w:r>
      <w:r>
        <w:rPr>
          <w:sz w:val="24"/>
        </w:rPr>
        <w:t>možnosti adaptácie, ktoré nie sú založené na dôkazoch (Zdroj:</w:t>
      </w:r>
      <w:r w:rsidR="00E277CB">
        <w:rPr>
          <w:sz w:val="24"/>
        </w:rPr>
        <w:t xml:space="preserve"> </w:t>
      </w:r>
      <w:proofErr w:type="spellStart"/>
      <w:r>
        <w:rPr>
          <w:i/>
          <w:sz w:val="24"/>
        </w:rPr>
        <w:t>European</w:t>
      </w:r>
      <w:proofErr w:type="spellEnd"/>
      <w:r>
        <w:rPr>
          <w:i/>
          <w:sz w:val="24"/>
        </w:rPr>
        <w:t xml:space="preserve"> Center </w:t>
      </w:r>
      <w:proofErr w:type="spellStart"/>
      <w:r>
        <w:rPr>
          <w:i/>
          <w:sz w:val="24"/>
        </w:rPr>
        <w:t>for</w:t>
      </w:r>
      <w:proofErr w:type="spellEnd"/>
      <w:r>
        <w:rPr>
          <w:i/>
          <w:sz w:val="24"/>
        </w:rPr>
        <w:t xml:space="preserve"> </w:t>
      </w:r>
      <w:proofErr w:type="spellStart"/>
      <w:r>
        <w:rPr>
          <w:i/>
          <w:sz w:val="24"/>
        </w:rPr>
        <w:t>Disease</w:t>
      </w:r>
      <w:proofErr w:type="spellEnd"/>
      <w:r>
        <w:rPr>
          <w:i/>
          <w:sz w:val="24"/>
        </w:rPr>
        <w:t xml:space="preserve"> </w:t>
      </w:r>
      <w:proofErr w:type="spellStart"/>
      <w:r>
        <w:rPr>
          <w:i/>
          <w:sz w:val="24"/>
        </w:rPr>
        <w:t>Prevention</w:t>
      </w:r>
      <w:proofErr w:type="spellEnd"/>
      <w:r>
        <w:rPr>
          <w:i/>
          <w:sz w:val="24"/>
        </w:rPr>
        <w:t xml:space="preserve"> and </w:t>
      </w:r>
      <w:proofErr w:type="spellStart"/>
      <w:r>
        <w:rPr>
          <w:i/>
          <w:sz w:val="24"/>
        </w:rPr>
        <w:t>Contact</w:t>
      </w:r>
      <w:proofErr w:type="spellEnd"/>
      <w:r>
        <w:rPr>
          <w:i/>
          <w:sz w:val="24"/>
        </w:rPr>
        <w:t xml:space="preserve">. </w:t>
      </w:r>
      <w:proofErr w:type="spellStart"/>
      <w:r>
        <w:rPr>
          <w:i/>
          <w:sz w:val="24"/>
        </w:rPr>
        <w:t>Contact</w:t>
      </w:r>
      <w:proofErr w:type="spellEnd"/>
      <w:r>
        <w:rPr>
          <w:i/>
          <w:sz w:val="24"/>
        </w:rPr>
        <w:t xml:space="preserve"> </w:t>
      </w:r>
      <w:proofErr w:type="spellStart"/>
      <w:r>
        <w:rPr>
          <w:i/>
          <w:sz w:val="24"/>
        </w:rPr>
        <w:t>tracing</w:t>
      </w:r>
      <w:proofErr w:type="spellEnd"/>
      <w:r>
        <w:rPr>
          <w:i/>
          <w:sz w:val="24"/>
        </w:rPr>
        <w:t xml:space="preserve"> </w:t>
      </w:r>
      <w:proofErr w:type="spellStart"/>
      <w:r>
        <w:rPr>
          <w:i/>
          <w:sz w:val="24"/>
        </w:rPr>
        <w:t>for</w:t>
      </w:r>
      <w:proofErr w:type="spellEnd"/>
      <w:r>
        <w:rPr>
          <w:i/>
          <w:sz w:val="24"/>
        </w:rPr>
        <w:t xml:space="preserve"> COVID-19)</w:t>
      </w:r>
    </w:p>
    <w:p w:rsidR="00170306" w:rsidRDefault="00170306">
      <w:pPr>
        <w:pStyle w:val="BodyText"/>
        <w:spacing w:before="2"/>
        <w:ind w:left="0"/>
        <w:rPr>
          <w:i/>
          <w:sz w:val="11"/>
        </w:rPr>
      </w:pPr>
    </w:p>
    <w:tbl>
      <w:tblPr>
        <w:tblW w:w="0" w:type="auto"/>
        <w:tblInd w:w="40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858"/>
        <w:gridCol w:w="3029"/>
        <w:gridCol w:w="2906"/>
        <w:gridCol w:w="2772"/>
      </w:tblGrid>
      <w:tr w:rsidR="00170306">
        <w:trPr>
          <w:trHeight w:val="875"/>
        </w:trPr>
        <w:tc>
          <w:tcPr>
            <w:tcW w:w="1858" w:type="dxa"/>
            <w:tcBorders>
              <w:top w:val="nil"/>
              <w:bottom w:val="single" w:sz="12" w:space="0" w:color="DDDDDD"/>
            </w:tcBorders>
            <w:shd w:val="clear" w:color="auto" w:fill="E0EED2"/>
          </w:tcPr>
          <w:p w:rsidR="00170306" w:rsidRDefault="00170306">
            <w:pPr>
              <w:pStyle w:val="TableParagraph"/>
              <w:ind w:left="0"/>
              <w:rPr>
                <w:sz w:val="20"/>
              </w:rPr>
            </w:pPr>
          </w:p>
        </w:tc>
        <w:tc>
          <w:tcPr>
            <w:tcW w:w="3029" w:type="dxa"/>
            <w:tcBorders>
              <w:top w:val="nil"/>
              <w:bottom w:val="single" w:sz="12" w:space="0" w:color="DDDDDD"/>
            </w:tcBorders>
            <w:shd w:val="clear" w:color="auto" w:fill="E0EED2"/>
          </w:tcPr>
          <w:p w:rsidR="00170306" w:rsidRDefault="00170306">
            <w:pPr>
              <w:pStyle w:val="TableParagraph"/>
              <w:spacing w:before="4"/>
              <w:ind w:left="0"/>
              <w:rPr>
                <w:i/>
                <w:sz w:val="27"/>
              </w:rPr>
            </w:pPr>
          </w:p>
          <w:p w:rsidR="00170306" w:rsidRDefault="008D7F3E">
            <w:pPr>
              <w:pStyle w:val="TableParagraph"/>
              <w:ind w:right="503"/>
              <w:rPr>
                <w:b/>
                <w:sz w:val="21"/>
              </w:rPr>
            </w:pPr>
            <w:r>
              <w:rPr>
                <w:b/>
                <w:sz w:val="21"/>
              </w:rPr>
              <w:t xml:space="preserve">Štandardné odporúčania pre karanténu </w:t>
            </w:r>
          </w:p>
        </w:tc>
        <w:tc>
          <w:tcPr>
            <w:tcW w:w="2906" w:type="dxa"/>
            <w:tcBorders>
              <w:top w:val="nil"/>
              <w:bottom w:val="single" w:sz="12" w:space="0" w:color="DDDDDD"/>
            </w:tcBorders>
            <w:shd w:val="clear" w:color="auto" w:fill="E0EED2"/>
          </w:tcPr>
          <w:p w:rsidR="00170306" w:rsidRDefault="008D7F3E">
            <w:pPr>
              <w:pStyle w:val="TableParagraph"/>
              <w:spacing w:before="72"/>
              <w:ind w:right="753"/>
              <w:rPr>
                <w:b/>
                <w:sz w:val="21"/>
              </w:rPr>
            </w:pPr>
            <w:r>
              <w:rPr>
                <w:b/>
                <w:sz w:val="21"/>
              </w:rPr>
              <w:t xml:space="preserve">Vysoký tlak na zdravotný systém a spoločnosť </w:t>
            </w:r>
          </w:p>
        </w:tc>
        <w:tc>
          <w:tcPr>
            <w:tcW w:w="2772" w:type="dxa"/>
            <w:tcBorders>
              <w:top w:val="nil"/>
              <w:bottom w:val="single" w:sz="12" w:space="0" w:color="DDDDDD"/>
            </w:tcBorders>
            <w:shd w:val="clear" w:color="auto" w:fill="E0EED2"/>
          </w:tcPr>
          <w:p w:rsidR="00170306" w:rsidRDefault="008D7F3E">
            <w:pPr>
              <w:pStyle w:val="TableParagraph"/>
              <w:spacing w:before="72"/>
              <w:ind w:left="75" w:right="376"/>
              <w:rPr>
                <w:b/>
                <w:sz w:val="21"/>
              </w:rPr>
            </w:pPr>
            <w:r>
              <w:rPr>
                <w:b/>
                <w:sz w:val="21"/>
              </w:rPr>
              <w:t xml:space="preserve">Extrémne vysoký tlak na </w:t>
            </w:r>
            <w:r>
              <w:rPr>
                <w:b/>
                <w:sz w:val="21"/>
              </w:rPr>
              <w:t>zdravotný systém a spoločnosť</w:t>
            </w:r>
          </w:p>
        </w:tc>
      </w:tr>
      <w:tr w:rsidR="00170306">
        <w:trPr>
          <w:trHeight w:val="1556"/>
        </w:trPr>
        <w:tc>
          <w:tcPr>
            <w:tcW w:w="1858" w:type="dxa"/>
            <w:tcBorders>
              <w:top w:val="single" w:sz="12" w:space="0" w:color="DDDDDD"/>
              <w:bottom w:val="nil"/>
            </w:tcBorders>
            <w:shd w:val="clear" w:color="auto" w:fill="F9F9F9"/>
          </w:tcPr>
          <w:p w:rsidR="00170306" w:rsidRDefault="008D7F3E">
            <w:pPr>
              <w:pStyle w:val="TableParagraph"/>
              <w:spacing w:before="56"/>
              <w:ind w:right="43"/>
              <w:rPr>
                <w:b/>
                <w:sz w:val="24"/>
              </w:rPr>
            </w:pPr>
            <w:r>
              <w:rPr>
                <w:b/>
                <w:sz w:val="24"/>
              </w:rPr>
              <w:t xml:space="preserve">Neočkované osoby </w:t>
            </w:r>
          </w:p>
        </w:tc>
        <w:tc>
          <w:tcPr>
            <w:tcW w:w="3029" w:type="dxa"/>
            <w:vMerge w:val="restart"/>
            <w:tcBorders>
              <w:top w:val="single" w:sz="12" w:space="0" w:color="DDDDDD"/>
            </w:tcBorders>
            <w:shd w:val="clear" w:color="auto" w:fill="F9F9F9"/>
          </w:tcPr>
          <w:p w:rsidR="00170306" w:rsidRDefault="008D7F3E">
            <w:pPr>
              <w:pStyle w:val="TableParagraph"/>
              <w:spacing w:before="53"/>
              <w:rPr>
                <w:sz w:val="21"/>
              </w:rPr>
            </w:pPr>
            <w:r>
              <w:rPr>
                <w:sz w:val="21"/>
              </w:rPr>
              <w:t xml:space="preserve">možnosť 1 </w:t>
            </w:r>
          </w:p>
          <w:p w:rsidR="00170306" w:rsidRDefault="008D7F3E">
            <w:pPr>
              <w:pStyle w:val="TableParagraph"/>
              <w:spacing w:before="150"/>
              <w:ind w:right="97"/>
              <w:rPr>
                <w:sz w:val="21"/>
              </w:rPr>
            </w:pPr>
            <w:r>
              <w:rPr>
                <w:sz w:val="21"/>
              </w:rPr>
              <w:t xml:space="preserve">Testovanie ihneď po identifikácii kontaktu (rýchly </w:t>
            </w:r>
            <w:r w:rsidR="00F37F92">
              <w:rPr>
                <w:sz w:val="21"/>
              </w:rPr>
              <w:t xml:space="preserve">antigénový </w:t>
            </w:r>
            <w:r>
              <w:rPr>
                <w:sz w:val="21"/>
              </w:rPr>
              <w:t xml:space="preserve"> test alebo RT-PCR) [a] </w:t>
            </w:r>
          </w:p>
          <w:p w:rsidR="00170306" w:rsidRDefault="008D7F3E">
            <w:pPr>
              <w:pStyle w:val="TableParagraph"/>
              <w:spacing w:before="150"/>
              <w:rPr>
                <w:sz w:val="21"/>
              </w:rPr>
            </w:pPr>
            <w:r>
              <w:rPr>
                <w:sz w:val="21"/>
              </w:rPr>
              <w:t>I</w:t>
            </w:r>
          </w:p>
          <w:p w:rsidR="00170306" w:rsidRDefault="008D7F3E">
            <w:pPr>
              <w:pStyle w:val="TableParagraph"/>
              <w:spacing w:before="150"/>
              <w:ind w:right="350"/>
              <w:rPr>
                <w:sz w:val="21"/>
              </w:rPr>
            </w:pPr>
            <w:r>
              <w:rPr>
                <w:sz w:val="21"/>
              </w:rPr>
              <w:t xml:space="preserve">10-dňová karanténa s testovaním RT-PCR na desiaty deň </w:t>
            </w:r>
          </w:p>
          <w:p w:rsidR="00170306" w:rsidRDefault="008D7F3E">
            <w:pPr>
              <w:pStyle w:val="TableParagraph"/>
              <w:spacing w:before="150"/>
              <w:ind w:left="126"/>
              <w:rPr>
                <w:sz w:val="21"/>
              </w:rPr>
            </w:pPr>
            <w:r>
              <w:rPr>
                <w:sz w:val="21"/>
              </w:rPr>
              <w:t>možnosť 2</w:t>
            </w:r>
          </w:p>
          <w:p w:rsidR="00170306" w:rsidRDefault="008D7F3E">
            <w:pPr>
              <w:pStyle w:val="TableParagraph"/>
              <w:spacing w:before="150"/>
              <w:ind w:right="97"/>
              <w:rPr>
                <w:sz w:val="21"/>
              </w:rPr>
            </w:pPr>
            <w:r>
              <w:rPr>
                <w:sz w:val="21"/>
              </w:rPr>
              <w:t xml:space="preserve">Testovanie ihneď po identifikácii kontaktu (rýchly </w:t>
            </w:r>
            <w:r w:rsidR="00F37F92">
              <w:rPr>
                <w:sz w:val="21"/>
              </w:rPr>
              <w:t xml:space="preserve">antigénový </w:t>
            </w:r>
            <w:r>
              <w:rPr>
                <w:sz w:val="21"/>
              </w:rPr>
              <w:t xml:space="preserve"> test alebo RT-PCR) [a]</w:t>
            </w:r>
          </w:p>
          <w:p w:rsidR="00170306" w:rsidRDefault="008D7F3E">
            <w:pPr>
              <w:pStyle w:val="TableParagraph"/>
              <w:spacing w:before="151"/>
              <w:rPr>
                <w:sz w:val="21"/>
              </w:rPr>
            </w:pPr>
            <w:r>
              <w:rPr>
                <w:sz w:val="21"/>
              </w:rPr>
              <w:t>I</w:t>
            </w:r>
          </w:p>
          <w:p w:rsidR="00170306" w:rsidRDefault="008D7F3E">
            <w:pPr>
              <w:pStyle w:val="TableParagraph"/>
              <w:spacing w:before="149"/>
              <w:ind w:right="344"/>
              <w:rPr>
                <w:sz w:val="21"/>
              </w:rPr>
            </w:pPr>
            <w:r>
              <w:rPr>
                <w:sz w:val="21"/>
              </w:rPr>
              <w:t xml:space="preserve">14-dňová karanténa, ak sa testovanie nevykoná na desiaty deň </w:t>
            </w:r>
          </w:p>
        </w:tc>
        <w:tc>
          <w:tcPr>
            <w:tcW w:w="2906" w:type="dxa"/>
            <w:tcBorders>
              <w:top w:val="single" w:sz="12" w:space="0" w:color="DDDDDD"/>
              <w:bottom w:val="nil"/>
            </w:tcBorders>
            <w:shd w:val="clear" w:color="auto" w:fill="F9F9F9"/>
          </w:tcPr>
          <w:p w:rsidR="00170306" w:rsidRDefault="008D7F3E">
            <w:pPr>
              <w:pStyle w:val="TableParagraph"/>
              <w:spacing w:before="53"/>
              <w:rPr>
                <w:sz w:val="21"/>
              </w:rPr>
            </w:pPr>
            <w:r>
              <w:rPr>
                <w:sz w:val="21"/>
              </w:rPr>
              <w:t>možnosť 1</w:t>
            </w:r>
          </w:p>
          <w:p w:rsidR="00170306" w:rsidRDefault="008D7F3E">
            <w:pPr>
              <w:pStyle w:val="TableParagraph"/>
              <w:spacing w:before="150"/>
              <w:ind w:right="68"/>
              <w:rPr>
                <w:sz w:val="21"/>
              </w:rPr>
            </w:pPr>
            <w:r>
              <w:rPr>
                <w:sz w:val="21"/>
              </w:rPr>
              <w:t>Testovanie ihneď po identifikácii kontaktu (rýchly antigénový test alebo RT-PCR) [a]</w:t>
            </w:r>
          </w:p>
        </w:tc>
        <w:tc>
          <w:tcPr>
            <w:tcW w:w="2772" w:type="dxa"/>
            <w:tcBorders>
              <w:top w:val="single" w:sz="12" w:space="0" w:color="DDDDDD"/>
              <w:bottom w:val="nil"/>
            </w:tcBorders>
            <w:shd w:val="clear" w:color="auto" w:fill="F9F9F9"/>
          </w:tcPr>
          <w:p w:rsidR="00170306" w:rsidRDefault="008D7F3E">
            <w:pPr>
              <w:pStyle w:val="TableParagraph"/>
              <w:spacing w:before="53" w:line="388" w:lineRule="auto"/>
              <w:ind w:left="75" w:right="845"/>
              <w:rPr>
                <w:sz w:val="21"/>
              </w:rPr>
            </w:pPr>
            <w:r>
              <w:rPr>
                <w:sz w:val="21"/>
              </w:rPr>
              <w:t xml:space="preserve">5-dňová karanténa [c] i </w:t>
            </w:r>
          </w:p>
          <w:p w:rsidR="00170306" w:rsidRDefault="008D7F3E">
            <w:pPr>
              <w:pStyle w:val="TableParagraph"/>
              <w:ind w:left="75"/>
              <w:rPr>
                <w:sz w:val="21"/>
              </w:rPr>
            </w:pPr>
            <w:r>
              <w:rPr>
                <w:sz w:val="21"/>
              </w:rPr>
              <w:t>Rýchly antigénny test resp</w:t>
            </w:r>
            <w:r w:rsidR="00F37F92">
              <w:rPr>
                <w:sz w:val="21"/>
              </w:rPr>
              <w:t>.</w:t>
            </w:r>
            <w:r>
              <w:rPr>
                <w:sz w:val="21"/>
              </w:rPr>
              <w:t xml:space="preserve"> </w:t>
            </w:r>
          </w:p>
          <w:p w:rsidR="00170306" w:rsidRDefault="008D7F3E">
            <w:pPr>
              <w:pStyle w:val="TableParagraph"/>
              <w:spacing w:before="5" w:line="240" w:lineRule="exact"/>
              <w:ind w:left="75" w:right="407"/>
              <w:rPr>
                <w:sz w:val="21"/>
              </w:rPr>
            </w:pPr>
            <w:r>
              <w:rPr>
                <w:sz w:val="21"/>
              </w:rPr>
              <w:t xml:space="preserve">RT-PCR testovanie na piaty deň, ak je to možné </w:t>
            </w:r>
          </w:p>
        </w:tc>
      </w:tr>
      <w:tr w:rsidR="00170306">
        <w:trPr>
          <w:trHeight w:val="372"/>
        </w:trPr>
        <w:tc>
          <w:tcPr>
            <w:tcW w:w="1858" w:type="dxa"/>
            <w:tcBorders>
              <w:top w:val="nil"/>
              <w:bottom w:val="nil"/>
            </w:tcBorders>
            <w:shd w:val="clear" w:color="auto" w:fill="F9F9F9"/>
          </w:tcPr>
          <w:p w:rsidR="00170306" w:rsidRDefault="00170306">
            <w:pPr>
              <w:pStyle w:val="TableParagraph"/>
              <w:ind w:left="0"/>
              <w:rPr>
                <w:sz w:val="20"/>
              </w:rPr>
            </w:pPr>
          </w:p>
        </w:tc>
        <w:tc>
          <w:tcPr>
            <w:tcW w:w="3029" w:type="dxa"/>
            <w:vMerge/>
            <w:tcBorders>
              <w:top w:val="nil"/>
            </w:tcBorders>
            <w:shd w:val="clear" w:color="auto" w:fill="F9F9F9"/>
          </w:tcPr>
          <w:p w:rsidR="00170306" w:rsidRDefault="00170306">
            <w:pPr>
              <w:rPr>
                <w:sz w:val="2"/>
                <w:szCs w:val="2"/>
              </w:rPr>
            </w:pPr>
          </w:p>
        </w:tc>
        <w:tc>
          <w:tcPr>
            <w:tcW w:w="2906" w:type="dxa"/>
            <w:tcBorders>
              <w:top w:val="nil"/>
              <w:bottom w:val="nil"/>
            </w:tcBorders>
            <w:shd w:val="clear" w:color="auto" w:fill="F9F9F9"/>
          </w:tcPr>
          <w:p w:rsidR="00170306" w:rsidRDefault="008D7F3E">
            <w:pPr>
              <w:pStyle w:val="TableParagraph"/>
              <w:spacing w:line="225" w:lineRule="exact"/>
              <w:rPr>
                <w:sz w:val="21"/>
              </w:rPr>
            </w:pPr>
            <w:r>
              <w:rPr>
                <w:sz w:val="21"/>
              </w:rPr>
              <w:t>I</w:t>
            </w:r>
          </w:p>
        </w:tc>
        <w:tc>
          <w:tcPr>
            <w:tcW w:w="2772" w:type="dxa"/>
            <w:tcBorders>
              <w:top w:val="nil"/>
              <w:bottom w:val="nil"/>
            </w:tcBorders>
            <w:shd w:val="clear" w:color="auto" w:fill="F9F9F9"/>
          </w:tcPr>
          <w:p w:rsidR="00170306" w:rsidRDefault="008D7F3E">
            <w:pPr>
              <w:pStyle w:val="TableParagraph"/>
              <w:spacing w:before="135" w:line="217" w:lineRule="exact"/>
              <w:ind w:left="75"/>
              <w:rPr>
                <w:sz w:val="21"/>
              </w:rPr>
            </w:pPr>
            <w:r>
              <w:rPr>
                <w:sz w:val="21"/>
              </w:rPr>
              <w:t>I</w:t>
            </w:r>
          </w:p>
        </w:tc>
      </w:tr>
      <w:tr w:rsidR="00170306">
        <w:trPr>
          <w:trHeight w:val="859"/>
        </w:trPr>
        <w:tc>
          <w:tcPr>
            <w:tcW w:w="1858" w:type="dxa"/>
            <w:tcBorders>
              <w:top w:val="nil"/>
              <w:bottom w:val="nil"/>
            </w:tcBorders>
            <w:shd w:val="clear" w:color="auto" w:fill="F9F9F9"/>
          </w:tcPr>
          <w:p w:rsidR="00170306" w:rsidRDefault="00170306">
            <w:pPr>
              <w:pStyle w:val="TableParagraph"/>
              <w:ind w:left="0"/>
              <w:rPr>
                <w:sz w:val="20"/>
              </w:rPr>
            </w:pPr>
          </w:p>
        </w:tc>
        <w:tc>
          <w:tcPr>
            <w:tcW w:w="3029" w:type="dxa"/>
            <w:vMerge/>
            <w:tcBorders>
              <w:top w:val="nil"/>
            </w:tcBorders>
            <w:shd w:val="clear" w:color="auto" w:fill="F9F9F9"/>
          </w:tcPr>
          <w:p w:rsidR="00170306" w:rsidRDefault="00170306">
            <w:pPr>
              <w:rPr>
                <w:sz w:val="2"/>
                <w:szCs w:val="2"/>
              </w:rPr>
            </w:pPr>
          </w:p>
        </w:tc>
        <w:tc>
          <w:tcPr>
            <w:tcW w:w="2906" w:type="dxa"/>
            <w:tcBorders>
              <w:top w:val="nil"/>
              <w:bottom w:val="nil"/>
            </w:tcBorders>
            <w:shd w:val="clear" w:color="auto" w:fill="F9F9F9"/>
          </w:tcPr>
          <w:p w:rsidR="00170306" w:rsidRDefault="008D7F3E">
            <w:pPr>
              <w:pStyle w:val="TableParagraph"/>
              <w:ind w:right="161"/>
              <w:rPr>
                <w:sz w:val="21"/>
              </w:rPr>
            </w:pPr>
            <w:r>
              <w:rPr>
                <w:sz w:val="21"/>
              </w:rPr>
              <w:t xml:space="preserve">7-dňová karanténa s rýchlym antigénnym testom alebo RT-PCR testovaním na siedmy deň </w:t>
            </w:r>
          </w:p>
        </w:tc>
        <w:tc>
          <w:tcPr>
            <w:tcW w:w="2772" w:type="dxa"/>
            <w:tcBorders>
              <w:top w:val="nil"/>
              <w:bottom w:val="nil"/>
            </w:tcBorders>
            <w:shd w:val="clear" w:color="auto" w:fill="F9F9F9"/>
          </w:tcPr>
          <w:p w:rsidR="00170306" w:rsidRDefault="008D7F3E">
            <w:pPr>
              <w:pStyle w:val="TableParagraph"/>
              <w:spacing w:before="139"/>
              <w:ind w:left="75" w:right="443"/>
              <w:rPr>
                <w:sz w:val="21"/>
              </w:rPr>
            </w:pPr>
            <w:r>
              <w:rPr>
                <w:sz w:val="21"/>
              </w:rPr>
              <w:t xml:space="preserve">5 ďalších dní nosenia vysoko účinného rúška </w:t>
            </w:r>
          </w:p>
          <w:p w:rsidR="00170306" w:rsidRDefault="008D7F3E">
            <w:pPr>
              <w:pStyle w:val="TableParagraph"/>
              <w:spacing w:line="218" w:lineRule="exact"/>
              <w:ind w:left="75"/>
              <w:rPr>
                <w:sz w:val="21"/>
              </w:rPr>
            </w:pPr>
            <w:r>
              <w:rPr>
                <w:sz w:val="21"/>
              </w:rPr>
              <w:t>(N95/FFP2) [d]</w:t>
            </w:r>
          </w:p>
        </w:tc>
      </w:tr>
      <w:tr w:rsidR="00170306">
        <w:trPr>
          <w:trHeight w:val="301"/>
        </w:trPr>
        <w:tc>
          <w:tcPr>
            <w:tcW w:w="1858" w:type="dxa"/>
            <w:tcBorders>
              <w:top w:val="nil"/>
              <w:bottom w:val="nil"/>
            </w:tcBorders>
            <w:shd w:val="clear" w:color="auto" w:fill="F9F9F9"/>
          </w:tcPr>
          <w:p w:rsidR="00170306" w:rsidRDefault="00170306">
            <w:pPr>
              <w:pStyle w:val="TableParagraph"/>
              <w:ind w:left="0"/>
              <w:rPr>
                <w:sz w:val="20"/>
              </w:rPr>
            </w:pPr>
          </w:p>
        </w:tc>
        <w:tc>
          <w:tcPr>
            <w:tcW w:w="3029" w:type="dxa"/>
            <w:vMerge/>
            <w:tcBorders>
              <w:top w:val="nil"/>
            </w:tcBorders>
            <w:shd w:val="clear" w:color="auto" w:fill="F9F9F9"/>
          </w:tcPr>
          <w:p w:rsidR="00170306" w:rsidRDefault="00170306">
            <w:pPr>
              <w:rPr>
                <w:sz w:val="2"/>
                <w:szCs w:val="2"/>
              </w:rPr>
            </w:pPr>
          </w:p>
        </w:tc>
        <w:tc>
          <w:tcPr>
            <w:tcW w:w="2906" w:type="dxa"/>
            <w:tcBorders>
              <w:top w:val="nil"/>
              <w:bottom w:val="nil"/>
            </w:tcBorders>
            <w:shd w:val="clear" w:color="auto" w:fill="F9F9F9"/>
          </w:tcPr>
          <w:p w:rsidR="00170306" w:rsidRDefault="008D7F3E">
            <w:pPr>
              <w:pStyle w:val="TableParagraph"/>
              <w:spacing w:line="230" w:lineRule="exact"/>
              <w:ind w:left="127"/>
              <w:rPr>
                <w:sz w:val="21"/>
              </w:rPr>
            </w:pPr>
            <w:r>
              <w:rPr>
                <w:sz w:val="21"/>
              </w:rPr>
              <w:t>možnosť 2</w:t>
            </w:r>
          </w:p>
        </w:tc>
        <w:tc>
          <w:tcPr>
            <w:tcW w:w="2772" w:type="dxa"/>
            <w:tcBorders>
              <w:top w:val="nil"/>
              <w:bottom w:val="nil"/>
            </w:tcBorders>
            <w:shd w:val="clear" w:color="auto" w:fill="F9F9F9"/>
          </w:tcPr>
          <w:p w:rsidR="00170306" w:rsidRDefault="00170306">
            <w:pPr>
              <w:pStyle w:val="TableParagraph"/>
              <w:ind w:left="0"/>
              <w:rPr>
                <w:sz w:val="20"/>
              </w:rPr>
            </w:pPr>
          </w:p>
        </w:tc>
      </w:tr>
      <w:tr w:rsidR="00170306">
        <w:trPr>
          <w:trHeight w:val="1101"/>
        </w:trPr>
        <w:tc>
          <w:tcPr>
            <w:tcW w:w="1858" w:type="dxa"/>
            <w:tcBorders>
              <w:top w:val="nil"/>
              <w:bottom w:val="nil"/>
            </w:tcBorders>
            <w:shd w:val="clear" w:color="auto" w:fill="F9F9F9"/>
          </w:tcPr>
          <w:p w:rsidR="00170306" w:rsidRDefault="00170306">
            <w:pPr>
              <w:pStyle w:val="TableParagraph"/>
              <w:ind w:left="0"/>
              <w:rPr>
                <w:sz w:val="20"/>
              </w:rPr>
            </w:pPr>
          </w:p>
        </w:tc>
        <w:tc>
          <w:tcPr>
            <w:tcW w:w="3029" w:type="dxa"/>
            <w:vMerge/>
            <w:tcBorders>
              <w:top w:val="nil"/>
            </w:tcBorders>
            <w:shd w:val="clear" w:color="auto" w:fill="F9F9F9"/>
          </w:tcPr>
          <w:p w:rsidR="00170306" w:rsidRDefault="00170306">
            <w:pPr>
              <w:rPr>
                <w:sz w:val="2"/>
                <w:szCs w:val="2"/>
              </w:rPr>
            </w:pPr>
          </w:p>
        </w:tc>
        <w:tc>
          <w:tcPr>
            <w:tcW w:w="2906" w:type="dxa"/>
            <w:tcBorders>
              <w:top w:val="nil"/>
              <w:bottom w:val="nil"/>
            </w:tcBorders>
            <w:shd w:val="clear" w:color="auto" w:fill="F9F9F9"/>
          </w:tcPr>
          <w:p w:rsidR="00170306" w:rsidRDefault="008D7F3E">
            <w:pPr>
              <w:pStyle w:val="TableParagraph"/>
              <w:spacing w:before="63"/>
              <w:ind w:right="68"/>
              <w:rPr>
                <w:sz w:val="21"/>
              </w:rPr>
            </w:pPr>
            <w:r>
              <w:rPr>
                <w:sz w:val="21"/>
              </w:rPr>
              <w:t>Testovanie ihneď po identifikácii kontaktu (rýchly antigénový test alebo RT-PCR) [a]</w:t>
            </w:r>
          </w:p>
        </w:tc>
        <w:tc>
          <w:tcPr>
            <w:tcW w:w="2772" w:type="dxa"/>
            <w:tcBorders>
              <w:top w:val="nil"/>
              <w:bottom w:val="nil"/>
            </w:tcBorders>
            <w:shd w:val="clear" w:color="auto" w:fill="F9F9F9"/>
          </w:tcPr>
          <w:p w:rsidR="00170306" w:rsidRDefault="00170306">
            <w:pPr>
              <w:pStyle w:val="TableParagraph"/>
              <w:ind w:left="0"/>
              <w:rPr>
                <w:sz w:val="20"/>
              </w:rPr>
            </w:pPr>
          </w:p>
        </w:tc>
      </w:tr>
      <w:tr w:rsidR="00170306">
        <w:trPr>
          <w:trHeight w:val="376"/>
        </w:trPr>
        <w:tc>
          <w:tcPr>
            <w:tcW w:w="1858" w:type="dxa"/>
            <w:tcBorders>
              <w:top w:val="nil"/>
              <w:bottom w:val="nil"/>
            </w:tcBorders>
            <w:shd w:val="clear" w:color="auto" w:fill="F9F9F9"/>
          </w:tcPr>
          <w:p w:rsidR="00170306" w:rsidRDefault="00170306">
            <w:pPr>
              <w:pStyle w:val="TableParagraph"/>
              <w:ind w:left="0"/>
              <w:rPr>
                <w:sz w:val="20"/>
              </w:rPr>
            </w:pPr>
          </w:p>
        </w:tc>
        <w:tc>
          <w:tcPr>
            <w:tcW w:w="3029" w:type="dxa"/>
            <w:vMerge/>
            <w:tcBorders>
              <w:top w:val="nil"/>
            </w:tcBorders>
            <w:shd w:val="clear" w:color="auto" w:fill="F9F9F9"/>
          </w:tcPr>
          <w:p w:rsidR="00170306" w:rsidRDefault="00170306">
            <w:pPr>
              <w:rPr>
                <w:sz w:val="2"/>
                <w:szCs w:val="2"/>
              </w:rPr>
            </w:pPr>
          </w:p>
        </w:tc>
        <w:tc>
          <w:tcPr>
            <w:tcW w:w="2906" w:type="dxa"/>
            <w:tcBorders>
              <w:top w:val="nil"/>
              <w:bottom w:val="nil"/>
            </w:tcBorders>
            <w:shd w:val="clear" w:color="auto" w:fill="F9F9F9"/>
          </w:tcPr>
          <w:p w:rsidR="00170306" w:rsidRDefault="008D7F3E">
            <w:pPr>
              <w:pStyle w:val="TableParagraph"/>
              <w:spacing w:before="63"/>
              <w:rPr>
                <w:sz w:val="21"/>
              </w:rPr>
            </w:pPr>
            <w:r>
              <w:rPr>
                <w:sz w:val="21"/>
              </w:rPr>
              <w:t>I</w:t>
            </w:r>
          </w:p>
        </w:tc>
        <w:tc>
          <w:tcPr>
            <w:tcW w:w="2772" w:type="dxa"/>
            <w:tcBorders>
              <w:top w:val="nil"/>
              <w:bottom w:val="nil"/>
            </w:tcBorders>
            <w:shd w:val="clear" w:color="auto" w:fill="F9F9F9"/>
          </w:tcPr>
          <w:p w:rsidR="00170306" w:rsidRDefault="00170306">
            <w:pPr>
              <w:pStyle w:val="TableParagraph"/>
              <w:ind w:left="0"/>
              <w:rPr>
                <w:sz w:val="20"/>
              </w:rPr>
            </w:pPr>
          </w:p>
        </w:tc>
      </w:tr>
      <w:tr w:rsidR="00170306">
        <w:trPr>
          <w:trHeight w:val="626"/>
        </w:trPr>
        <w:tc>
          <w:tcPr>
            <w:tcW w:w="1858" w:type="dxa"/>
            <w:tcBorders>
              <w:top w:val="nil"/>
            </w:tcBorders>
            <w:shd w:val="clear" w:color="auto" w:fill="F9F9F9"/>
          </w:tcPr>
          <w:p w:rsidR="00170306" w:rsidRDefault="00170306">
            <w:pPr>
              <w:pStyle w:val="TableParagraph"/>
              <w:ind w:left="0"/>
              <w:rPr>
                <w:sz w:val="20"/>
              </w:rPr>
            </w:pPr>
          </w:p>
        </w:tc>
        <w:tc>
          <w:tcPr>
            <w:tcW w:w="3029" w:type="dxa"/>
            <w:vMerge/>
            <w:tcBorders>
              <w:top w:val="nil"/>
            </w:tcBorders>
            <w:shd w:val="clear" w:color="auto" w:fill="F9F9F9"/>
          </w:tcPr>
          <w:p w:rsidR="00170306" w:rsidRDefault="00170306">
            <w:pPr>
              <w:rPr>
                <w:sz w:val="2"/>
                <w:szCs w:val="2"/>
              </w:rPr>
            </w:pPr>
          </w:p>
        </w:tc>
        <w:tc>
          <w:tcPr>
            <w:tcW w:w="2906" w:type="dxa"/>
            <w:tcBorders>
              <w:top w:val="nil"/>
            </w:tcBorders>
            <w:shd w:val="clear" w:color="auto" w:fill="F9F9F9"/>
          </w:tcPr>
          <w:p w:rsidR="00170306" w:rsidRDefault="008D7F3E">
            <w:pPr>
              <w:pStyle w:val="TableParagraph"/>
              <w:spacing w:before="63"/>
              <w:ind w:right="258"/>
              <w:rPr>
                <w:sz w:val="21"/>
              </w:rPr>
            </w:pPr>
            <w:r>
              <w:rPr>
                <w:sz w:val="21"/>
              </w:rPr>
              <w:t>10-dňová karanténa, ak sa testovanie nevykoná na siedmy deň</w:t>
            </w:r>
          </w:p>
        </w:tc>
        <w:tc>
          <w:tcPr>
            <w:tcW w:w="2772" w:type="dxa"/>
            <w:tcBorders>
              <w:top w:val="nil"/>
            </w:tcBorders>
            <w:shd w:val="clear" w:color="auto" w:fill="F9F9F9"/>
          </w:tcPr>
          <w:p w:rsidR="00170306" w:rsidRDefault="00170306">
            <w:pPr>
              <w:pStyle w:val="TableParagraph"/>
              <w:ind w:left="0"/>
              <w:rPr>
                <w:sz w:val="20"/>
              </w:rPr>
            </w:pPr>
          </w:p>
        </w:tc>
      </w:tr>
      <w:tr w:rsidR="00170306">
        <w:trPr>
          <w:trHeight w:val="1309"/>
        </w:trPr>
        <w:tc>
          <w:tcPr>
            <w:tcW w:w="1858" w:type="dxa"/>
            <w:tcBorders>
              <w:bottom w:val="nil"/>
            </w:tcBorders>
          </w:tcPr>
          <w:p w:rsidR="00170306" w:rsidRDefault="008D7F3E">
            <w:pPr>
              <w:pStyle w:val="TableParagraph"/>
              <w:spacing w:before="73"/>
              <w:ind w:right="306"/>
              <w:rPr>
                <w:b/>
                <w:sz w:val="24"/>
              </w:rPr>
            </w:pPr>
            <w:r>
              <w:rPr>
                <w:b/>
                <w:sz w:val="24"/>
              </w:rPr>
              <w:t>Očkované osoby</w:t>
            </w:r>
          </w:p>
        </w:tc>
        <w:tc>
          <w:tcPr>
            <w:tcW w:w="3029" w:type="dxa"/>
            <w:tcBorders>
              <w:bottom w:val="nil"/>
            </w:tcBorders>
          </w:tcPr>
          <w:p w:rsidR="00170306" w:rsidRDefault="008D7F3E">
            <w:pPr>
              <w:pStyle w:val="TableParagraph"/>
              <w:spacing w:before="70"/>
              <w:ind w:right="97"/>
              <w:rPr>
                <w:sz w:val="21"/>
              </w:rPr>
            </w:pPr>
            <w:r>
              <w:rPr>
                <w:sz w:val="21"/>
              </w:rPr>
              <w:t xml:space="preserve">Testovanie ihneď po identifikácii kontaktu (rýchly </w:t>
            </w:r>
            <w:r w:rsidR="00F37F92">
              <w:rPr>
                <w:sz w:val="21"/>
              </w:rPr>
              <w:t xml:space="preserve">antigénový </w:t>
            </w:r>
            <w:r>
              <w:rPr>
                <w:sz w:val="21"/>
              </w:rPr>
              <w:t xml:space="preserve"> test alebo RT-PCR) [a]a karanténa s negatívnym výsledkom</w:t>
            </w:r>
          </w:p>
        </w:tc>
        <w:tc>
          <w:tcPr>
            <w:tcW w:w="2906" w:type="dxa"/>
            <w:tcBorders>
              <w:bottom w:val="nil"/>
            </w:tcBorders>
          </w:tcPr>
          <w:p w:rsidR="00170306" w:rsidRDefault="008D7F3E">
            <w:pPr>
              <w:pStyle w:val="TableParagraph"/>
              <w:spacing w:before="70"/>
              <w:ind w:right="68"/>
              <w:rPr>
                <w:sz w:val="21"/>
              </w:rPr>
            </w:pPr>
            <w:r>
              <w:rPr>
                <w:sz w:val="21"/>
              </w:rPr>
              <w:t xml:space="preserve">Testovanie ihneď po identifikácii kontaktu (rýchly </w:t>
            </w:r>
            <w:r w:rsidR="00F37F92">
              <w:rPr>
                <w:sz w:val="21"/>
              </w:rPr>
              <w:t xml:space="preserve">antigénový </w:t>
            </w:r>
            <w:r>
              <w:rPr>
                <w:sz w:val="21"/>
              </w:rPr>
              <w:t xml:space="preserve"> test alebo RT-PCR) [a]a karanténa s negatívnym výsledkom</w:t>
            </w:r>
          </w:p>
        </w:tc>
        <w:tc>
          <w:tcPr>
            <w:tcW w:w="2772" w:type="dxa"/>
            <w:tcBorders>
              <w:bottom w:val="nil"/>
            </w:tcBorders>
          </w:tcPr>
          <w:p w:rsidR="00170306" w:rsidRDefault="008D7F3E">
            <w:pPr>
              <w:pStyle w:val="TableParagraph"/>
              <w:spacing w:before="70"/>
              <w:ind w:left="75" w:right="657"/>
              <w:jc w:val="both"/>
              <w:rPr>
                <w:sz w:val="21"/>
              </w:rPr>
            </w:pPr>
            <w:r>
              <w:rPr>
                <w:sz w:val="21"/>
              </w:rPr>
              <w:t>Nosenie vysokoúčin</w:t>
            </w:r>
            <w:r>
              <w:rPr>
                <w:sz w:val="21"/>
              </w:rPr>
              <w:t xml:space="preserve">nej masky počas desiatich dní (N95 / FFP2) [d] </w:t>
            </w:r>
          </w:p>
          <w:p w:rsidR="00170306" w:rsidRDefault="008D7F3E">
            <w:pPr>
              <w:pStyle w:val="TableParagraph"/>
              <w:spacing w:before="149"/>
              <w:ind w:left="75"/>
              <w:rPr>
                <w:sz w:val="21"/>
              </w:rPr>
            </w:pPr>
            <w:r>
              <w:rPr>
                <w:sz w:val="21"/>
              </w:rPr>
              <w:t>I</w:t>
            </w:r>
          </w:p>
        </w:tc>
      </w:tr>
      <w:tr w:rsidR="00170306">
        <w:trPr>
          <w:trHeight w:val="3696"/>
        </w:trPr>
        <w:tc>
          <w:tcPr>
            <w:tcW w:w="1858" w:type="dxa"/>
            <w:tcBorders>
              <w:top w:val="nil"/>
            </w:tcBorders>
          </w:tcPr>
          <w:p w:rsidR="00170306" w:rsidRDefault="00170306">
            <w:pPr>
              <w:pStyle w:val="TableParagraph"/>
              <w:ind w:left="0"/>
              <w:rPr>
                <w:sz w:val="20"/>
              </w:rPr>
            </w:pPr>
          </w:p>
        </w:tc>
        <w:tc>
          <w:tcPr>
            <w:tcW w:w="3029" w:type="dxa"/>
            <w:tcBorders>
              <w:top w:val="nil"/>
            </w:tcBorders>
          </w:tcPr>
          <w:p w:rsidR="00170306" w:rsidRDefault="008D7F3E">
            <w:pPr>
              <w:pStyle w:val="TableParagraph"/>
              <w:spacing w:before="116"/>
              <w:ind w:left="126"/>
              <w:rPr>
                <w:sz w:val="21"/>
              </w:rPr>
            </w:pPr>
            <w:r>
              <w:rPr>
                <w:sz w:val="21"/>
              </w:rPr>
              <w:t>I</w:t>
            </w:r>
          </w:p>
          <w:p w:rsidR="00170306" w:rsidRDefault="008D7F3E">
            <w:pPr>
              <w:pStyle w:val="TableParagraph"/>
              <w:spacing w:before="150"/>
              <w:ind w:right="151" w:firstLine="52"/>
              <w:rPr>
                <w:sz w:val="21"/>
              </w:rPr>
            </w:pPr>
            <w:r>
              <w:rPr>
                <w:sz w:val="21"/>
              </w:rPr>
              <w:t xml:space="preserve">Rýchly antigénový test alebo RT-PCR test 2-4 dni po negatívnom výsledku [a] </w:t>
            </w:r>
          </w:p>
          <w:p w:rsidR="00170306" w:rsidRDefault="008D7F3E">
            <w:pPr>
              <w:pStyle w:val="TableParagraph"/>
              <w:spacing w:before="152"/>
              <w:ind w:left="126"/>
              <w:rPr>
                <w:sz w:val="21"/>
              </w:rPr>
            </w:pPr>
            <w:r>
              <w:rPr>
                <w:sz w:val="21"/>
              </w:rPr>
              <w:t>I</w:t>
            </w:r>
          </w:p>
          <w:p w:rsidR="00170306" w:rsidRDefault="008D7F3E">
            <w:pPr>
              <w:pStyle w:val="TableParagraph"/>
              <w:spacing w:before="150"/>
              <w:ind w:right="363" w:firstLine="52"/>
              <w:rPr>
                <w:sz w:val="21"/>
              </w:rPr>
            </w:pPr>
            <w:proofErr w:type="spellStart"/>
            <w:r>
              <w:rPr>
                <w:sz w:val="21"/>
              </w:rPr>
              <w:t>Sebamonitorovanie</w:t>
            </w:r>
            <w:proofErr w:type="spellEnd"/>
            <w:r>
              <w:rPr>
                <w:sz w:val="21"/>
              </w:rPr>
              <w:t xml:space="preserve"> symptómov, nosenie rúška, udržiavanie si odstupu od iných ľudí a vyhýbanie sa kontaktu s citlivými populáciami.</w:t>
            </w:r>
          </w:p>
        </w:tc>
        <w:tc>
          <w:tcPr>
            <w:tcW w:w="2906" w:type="dxa"/>
            <w:tcBorders>
              <w:top w:val="nil"/>
            </w:tcBorders>
          </w:tcPr>
          <w:p w:rsidR="00170306" w:rsidRDefault="008D7F3E">
            <w:pPr>
              <w:pStyle w:val="TableParagraph"/>
              <w:spacing w:before="116"/>
              <w:ind w:left="127"/>
              <w:rPr>
                <w:sz w:val="21"/>
              </w:rPr>
            </w:pPr>
            <w:r>
              <w:rPr>
                <w:sz w:val="21"/>
              </w:rPr>
              <w:t>I</w:t>
            </w:r>
          </w:p>
          <w:p w:rsidR="00170306" w:rsidRDefault="008D7F3E">
            <w:pPr>
              <w:pStyle w:val="TableParagraph"/>
              <w:spacing w:before="150"/>
              <w:ind w:right="72" w:firstLine="52"/>
              <w:rPr>
                <w:sz w:val="21"/>
              </w:rPr>
            </w:pPr>
            <w:r>
              <w:rPr>
                <w:sz w:val="21"/>
              </w:rPr>
              <w:t>Rýchly antigénový test</w:t>
            </w:r>
            <w:r w:rsidR="00E277CB">
              <w:rPr>
                <w:sz w:val="21"/>
              </w:rPr>
              <w:t xml:space="preserve"> </w:t>
            </w:r>
            <w:r>
              <w:rPr>
                <w:sz w:val="21"/>
              </w:rPr>
              <w:t>alebo RT-PCR test 2-4 dni po negatívnom výsledku [a], ak je možné</w:t>
            </w:r>
          </w:p>
          <w:p w:rsidR="00170306" w:rsidRDefault="008D7F3E">
            <w:pPr>
              <w:pStyle w:val="TableParagraph"/>
              <w:spacing w:before="151"/>
              <w:ind w:left="127"/>
              <w:rPr>
                <w:sz w:val="21"/>
              </w:rPr>
            </w:pPr>
            <w:r>
              <w:rPr>
                <w:sz w:val="21"/>
              </w:rPr>
              <w:t>I</w:t>
            </w:r>
          </w:p>
          <w:p w:rsidR="00170306" w:rsidRDefault="008D7F3E">
            <w:pPr>
              <w:pStyle w:val="TableParagraph"/>
              <w:spacing w:before="152"/>
              <w:ind w:right="200" w:firstLine="52"/>
              <w:rPr>
                <w:sz w:val="21"/>
              </w:rPr>
            </w:pPr>
            <w:proofErr w:type="spellStart"/>
            <w:r>
              <w:rPr>
                <w:sz w:val="21"/>
              </w:rPr>
              <w:t>Sebamonitorovanie</w:t>
            </w:r>
            <w:proofErr w:type="spellEnd"/>
            <w:r>
              <w:rPr>
                <w:sz w:val="21"/>
              </w:rPr>
              <w:t xml:space="preserve"> symptómov, nos</w:t>
            </w:r>
            <w:r>
              <w:rPr>
                <w:sz w:val="21"/>
              </w:rPr>
              <w:t>enie rúška, udržiavanie si odstupu od iných ľudí a vyhýbanie sa kontaktu s citlivými populáciami, ak je to možné.</w:t>
            </w:r>
          </w:p>
        </w:tc>
        <w:tc>
          <w:tcPr>
            <w:tcW w:w="2772" w:type="dxa"/>
            <w:tcBorders>
              <w:top w:val="nil"/>
            </w:tcBorders>
          </w:tcPr>
          <w:p w:rsidR="00170306" w:rsidRDefault="008D7F3E">
            <w:pPr>
              <w:pStyle w:val="TableParagraph"/>
              <w:spacing w:before="25"/>
              <w:ind w:left="75" w:right="394"/>
              <w:jc w:val="both"/>
              <w:rPr>
                <w:sz w:val="21"/>
              </w:rPr>
            </w:pPr>
            <w:r>
              <w:rPr>
                <w:sz w:val="21"/>
              </w:rPr>
              <w:t>Rýchly antigénový test</w:t>
            </w:r>
            <w:r w:rsidR="00E277CB">
              <w:rPr>
                <w:sz w:val="21"/>
              </w:rPr>
              <w:t xml:space="preserve"> </w:t>
            </w:r>
            <w:r>
              <w:rPr>
                <w:sz w:val="21"/>
              </w:rPr>
              <w:t>alebo RT-PCR testovanie piateho dňa, ak je možné</w:t>
            </w:r>
          </w:p>
          <w:p w:rsidR="00170306" w:rsidRDefault="008D7F3E">
            <w:pPr>
              <w:pStyle w:val="TableParagraph"/>
              <w:spacing w:before="152"/>
              <w:ind w:left="75"/>
              <w:rPr>
                <w:sz w:val="21"/>
              </w:rPr>
            </w:pPr>
            <w:r>
              <w:rPr>
                <w:sz w:val="21"/>
              </w:rPr>
              <w:t>I</w:t>
            </w:r>
          </w:p>
          <w:p w:rsidR="00170306" w:rsidRDefault="008D7F3E">
            <w:pPr>
              <w:pStyle w:val="TableParagraph"/>
              <w:spacing w:before="150"/>
              <w:ind w:left="75" w:right="65" w:firstLine="105"/>
              <w:rPr>
                <w:sz w:val="21"/>
              </w:rPr>
            </w:pPr>
            <w:proofErr w:type="spellStart"/>
            <w:r>
              <w:rPr>
                <w:sz w:val="21"/>
              </w:rPr>
              <w:t>Sebamonitorovanie</w:t>
            </w:r>
            <w:proofErr w:type="spellEnd"/>
            <w:r>
              <w:rPr>
                <w:sz w:val="21"/>
              </w:rPr>
              <w:t xml:space="preserve"> symptómov, nosenie rúška, udržiavanie si odstupu </w:t>
            </w:r>
            <w:r>
              <w:rPr>
                <w:sz w:val="21"/>
              </w:rPr>
              <w:t>od iných ľudí a vyhýbanie sa kontaktu s citlivými populáciami, ak je to možné.</w:t>
            </w:r>
          </w:p>
        </w:tc>
      </w:tr>
    </w:tbl>
    <w:p w:rsidR="00170306" w:rsidRDefault="008D7F3E">
      <w:pPr>
        <w:pStyle w:val="ListParagraph"/>
        <w:numPr>
          <w:ilvl w:val="0"/>
          <w:numId w:val="3"/>
        </w:numPr>
        <w:tabs>
          <w:tab w:val="left" w:pos="1534"/>
        </w:tabs>
        <w:spacing w:line="360" w:lineRule="auto"/>
        <w:ind w:right="546" w:firstLine="720"/>
        <w:rPr>
          <w:sz w:val="21"/>
        </w:rPr>
      </w:pPr>
      <w:r>
        <w:rPr>
          <w:sz w:val="21"/>
        </w:rPr>
        <w:t xml:space="preserve">Testovanie buď rýchlym antigénovým testom alebo RT-PCR by mala vykonávať kvalifikovaná osoba. </w:t>
      </w:r>
      <w:proofErr w:type="spellStart"/>
      <w:r>
        <w:rPr>
          <w:sz w:val="21"/>
        </w:rPr>
        <w:t>Samotestovanie</w:t>
      </w:r>
      <w:proofErr w:type="spellEnd"/>
      <w:r>
        <w:rPr>
          <w:sz w:val="21"/>
        </w:rPr>
        <w:t xml:space="preserve"> rýchlym antigénovým testom sa nepovažuje za dostatočné na ukončenie karantény. </w:t>
      </w:r>
    </w:p>
    <w:p w:rsidR="00170306" w:rsidRDefault="008D7F3E">
      <w:pPr>
        <w:pStyle w:val="ListParagraph"/>
        <w:numPr>
          <w:ilvl w:val="0"/>
          <w:numId w:val="3"/>
        </w:numPr>
        <w:tabs>
          <w:tab w:val="left" w:pos="1491"/>
        </w:tabs>
        <w:ind w:left="1490" w:hanging="299"/>
        <w:rPr>
          <w:sz w:val="21"/>
        </w:rPr>
      </w:pPr>
      <w:r>
        <w:rPr>
          <w:sz w:val="21"/>
        </w:rPr>
        <w:t>V tejto tabuľke sa pojem „očkovaný“ vzťahuje na osoby, ktoré</w:t>
      </w:r>
      <w:r>
        <w:rPr>
          <w:sz w:val="21"/>
        </w:rPr>
        <w:t xml:space="preserve">: </w:t>
      </w:r>
    </w:p>
    <w:p w:rsidR="00170306" w:rsidRDefault="00170306">
      <w:pPr>
        <w:rPr>
          <w:sz w:val="21"/>
        </w:rPr>
        <w:sectPr w:rsidR="00170306">
          <w:pgSz w:w="11910" w:h="16840"/>
          <w:pgMar w:top="820" w:right="440" w:bottom="280" w:left="38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170306" w:rsidRDefault="008D7F3E">
      <w:pPr>
        <w:pStyle w:val="ListParagraph"/>
        <w:numPr>
          <w:ilvl w:val="1"/>
          <w:numId w:val="1"/>
        </w:numPr>
        <w:tabs>
          <w:tab w:val="left" w:pos="1552"/>
          <w:tab w:val="left" w:pos="1553"/>
        </w:tabs>
        <w:spacing w:before="72"/>
        <w:ind w:hanging="361"/>
        <w:jc w:val="left"/>
        <w:rPr>
          <w:sz w:val="21"/>
        </w:rPr>
      </w:pPr>
      <w:r>
        <w:rPr>
          <w:sz w:val="21"/>
        </w:rPr>
        <w:lastRenderedPageBreak/>
        <w:t xml:space="preserve">Za posledných šesť mesiacov dostali kompletnú základnú sériu vakcín proti COVID-19. </w:t>
      </w:r>
    </w:p>
    <w:p w:rsidR="00170306" w:rsidRDefault="008D7F3E">
      <w:pPr>
        <w:pStyle w:val="ListParagraph"/>
        <w:numPr>
          <w:ilvl w:val="2"/>
          <w:numId w:val="1"/>
        </w:numPr>
        <w:tabs>
          <w:tab w:val="left" w:pos="2272"/>
          <w:tab w:val="left" w:pos="2273"/>
        </w:tabs>
        <w:spacing w:before="121"/>
        <w:ind w:hanging="361"/>
        <w:jc w:val="left"/>
        <w:rPr>
          <w:sz w:val="21"/>
        </w:rPr>
      </w:pPr>
      <w:r>
        <w:rPr>
          <w:sz w:val="21"/>
        </w:rPr>
        <w:t xml:space="preserve">Trvanie ochrany je predmetom neustáleho výskumu a toto by sa malo brať do úvahy. </w:t>
      </w:r>
    </w:p>
    <w:p w:rsidR="00170306" w:rsidRDefault="008D7F3E">
      <w:pPr>
        <w:pStyle w:val="ListParagraph"/>
        <w:numPr>
          <w:ilvl w:val="2"/>
          <w:numId w:val="1"/>
        </w:numPr>
        <w:tabs>
          <w:tab w:val="left" w:pos="2272"/>
          <w:tab w:val="left" w:pos="2273"/>
        </w:tabs>
        <w:spacing w:before="104" w:line="336" w:lineRule="auto"/>
        <w:ind w:right="549"/>
        <w:jc w:val="left"/>
        <w:rPr>
          <w:sz w:val="21"/>
        </w:rPr>
      </w:pPr>
      <w:r>
        <w:rPr>
          <w:sz w:val="21"/>
        </w:rPr>
        <w:t xml:space="preserve">V oblastiach, kde je dominantný variant </w:t>
      </w:r>
      <w:proofErr w:type="spellStart"/>
      <w:r w:rsidR="00F576F7">
        <w:rPr>
          <w:sz w:val="21"/>
        </w:rPr>
        <w:t>omikron</w:t>
      </w:r>
      <w:proofErr w:type="spellEnd"/>
      <w:r>
        <w:rPr>
          <w:sz w:val="21"/>
        </w:rPr>
        <w:t>, možno toto obdobie ešte skrátiť na tri m</w:t>
      </w:r>
      <w:r>
        <w:rPr>
          <w:sz w:val="21"/>
        </w:rPr>
        <w:t xml:space="preserve">esiace. </w:t>
      </w:r>
    </w:p>
    <w:p w:rsidR="00170306" w:rsidRDefault="008D7F3E">
      <w:pPr>
        <w:pStyle w:val="ListParagraph"/>
        <w:numPr>
          <w:ilvl w:val="2"/>
          <w:numId w:val="1"/>
        </w:numPr>
        <w:tabs>
          <w:tab w:val="left" w:pos="2272"/>
          <w:tab w:val="left" w:pos="2273"/>
        </w:tabs>
        <w:spacing w:before="31"/>
        <w:ind w:hanging="361"/>
        <w:jc w:val="left"/>
        <w:rPr>
          <w:sz w:val="21"/>
        </w:rPr>
      </w:pPr>
      <w:r>
        <w:rPr>
          <w:sz w:val="21"/>
        </w:rPr>
        <w:t xml:space="preserve">Toto neplatí pre jednodávkové vakcíny. </w:t>
      </w:r>
    </w:p>
    <w:p w:rsidR="00170306" w:rsidRDefault="008D7F3E">
      <w:pPr>
        <w:pStyle w:val="ListParagraph"/>
        <w:numPr>
          <w:ilvl w:val="1"/>
          <w:numId w:val="1"/>
        </w:numPr>
        <w:tabs>
          <w:tab w:val="left" w:pos="1552"/>
          <w:tab w:val="left" w:pos="1553"/>
        </w:tabs>
        <w:spacing w:before="103"/>
        <w:ind w:hanging="361"/>
        <w:jc w:val="left"/>
        <w:rPr>
          <w:sz w:val="21"/>
        </w:rPr>
      </w:pPr>
      <w:r>
        <w:rPr>
          <w:sz w:val="21"/>
        </w:rPr>
        <w:t xml:space="preserve">Jednotlivci, ktorí dostali posilňovaciu dávku vakcíny COVID-19. </w:t>
      </w:r>
    </w:p>
    <w:p w:rsidR="00170306" w:rsidRDefault="008D7F3E">
      <w:pPr>
        <w:pStyle w:val="ListParagraph"/>
        <w:numPr>
          <w:ilvl w:val="2"/>
          <w:numId w:val="1"/>
        </w:numPr>
        <w:tabs>
          <w:tab w:val="left" w:pos="2272"/>
          <w:tab w:val="left" w:pos="2273"/>
        </w:tabs>
        <w:spacing w:before="121" w:line="336" w:lineRule="auto"/>
        <w:ind w:right="1192"/>
        <w:jc w:val="left"/>
        <w:rPr>
          <w:sz w:val="21"/>
        </w:rPr>
      </w:pPr>
      <w:r>
        <w:rPr>
          <w:sz w:val="21"/>
        </w:rPr>
        <w:t xml:space="preserve">V oblastiach, kde je dominantný variant </w:t>
      </w:r>
      <w:proofErr w:type="spellStart"/>
      <w:r w:rsidR="00F576F7">
        <w:rPr>
          <w:sz w:val="21"/>
        </w:rPr>
        <w:t>omikron</w:t>
      </w:r>
      <w:proofErr w:type="spellEnd"/>
      <w:r>
        <w:rPr>
          <w:sz w:val="21"/>
        </w:rPr>
        <w:t>, možno toto obdobie ešte skrátiť na tri mesiace.</w:t>
      </w:r>
    </w:p>
    <w:p w:rsidR="00170306" w:rsidRDefault="008D7F3E">
      <w:pPr>
        <w:spacing w:before="31" w:line="360" w:lineRule="auto"/>
        <w:ind w:left="472" w:right="546" w:firstLine="720"/>
        <w:jc w:val="both"/>
        <w:rPr>
          <w:sz w:val="21"/>
        </w:rPr>
      </w:pPr>
      <w:r>
        <w:rPr>
          <w:sz w:val="21"/>
        </w:rPr>
        <w:t>Predtým infikovaní ľudia by sa mali riadiť odporúčaniami pre plne zaočkovaných ľudí, ak od diagnostikovania infekcie uplynulo menej ako šesť mesiacov.</w:t>
      </w:r>
      <w:r w:rsidR="00E277CB">
        <w:rPr>
          <w:sz w:val="21"/>
        </w:rPr>
        <w:t xml:space="preserve"> </w:t>
      </w:r>
      <w:r>
        <w:rPr>
          <w:sz w:val="21"/>
        </w:rPr>
        <w:t>Ak od diagnostikovania infekcie uplynulo viac ako šesť mesiacov, mali by dodržiavať odporúčania pre neoč</w:t>
      </w:r>
      <w:r>
        <w:rPr>
          <w:sz w:val="21"/>
        </w:rPr>
        <w:t xml:space="preserve">kovaných ľudí. </w:t>
      </w:r>
    </w:p>
    <w:p w:rsidR="00170306" w:rsidRDefault="008D7F3E">
      <w:pPr>
        <w:pStyle w:val="ListParagraph"/>
        <w:numPr>
          <w:ilvl w:val="0"/>
          <w:numId w:val="3"/>
        </w:numPr>
        <w:tabs>
          <w:tab w:val="left" w:pos="1491"/>
        </w:tabs>
        <w:spacing w:line="360" w:lineRule="auto"/>
        <w:ind w:right="545" w:firstLine="720"/>
        <w:jc w:val="both"/>
        <w:rPr>
          <w:sz w:val="21"/>
        </w:rPr>
      </w:pPr>
      <w:r>
        <w:rPr>
          <w:sz w:val="21"/>
        </w:rPr>
        <w:t xml:space="preserve">Ak sa odporúča kratšie trvanie karantény, zvyšuje sa </w:t>
      </w:r>
      <w:r>
        <w:rPr>
          <w:sz w:val="21"/>
        </w:rPr>
        <w:t>riziko ďalšieho prenosu SARS-CoV-2.</w:t>
      </w:r>
      <w:r w:rsidR="00E277CB">
        <w:rPr>
          <w:sz w:val="21"/>
        </w:rPr>
        <w:t xml:space="preserve"> </w:t>
      </w:r>
      <w:r>
        <w:rPr>
          <w:sz w:val="21"/>
        </w:rPr>
        <w:t>Preto by sa okrem nosenia rúška malo osobám identifikovaným ako osoby s blízkymi kontaktmi odporučiť, aby sa vyhýbali kontaktu s inými osobam</w:t>
      </w:r>
      <w:r>
        <w:rPr>
          <w:sz w:val="21"/>
        </w:rPr>
        <w:t>i, pokiaľ to nie je nevyhnutné, najmä s citlivými osobami</w:t>
      </w:r>
      <w:bookmarkStart w:id="0" w:name="_GoBack"/>
      <w:bookmarkEnd w:id="0"/>
      <w:r>
        <w:rPr>
          <w:sz w:val="21"/>
        </w:rPr>
        <w:t>.</w:t>
      </w:r>
    </w:p>
    <w:p w:rsidR="00170306" w:rsidRDefault="008D7F3E">
      <w:pPr>
        <w:pStyle w:val="ListParagraph"/>
        <w:numPr>
          <w:ilvl w:val="0"/>
          <w:numId w:val="3"/>
        </w:numPr>
        <w:tabs>
          <w:tab w:val="left" w:pos="1558"/>
        </w:tabs>
        <w:spacing w:line="360" w:lineRule="auto"/>
        <w:ind w:right="544" w:firstLine="720"/>
        <w:jc w:val="both"/>
        <w:rPr>
          <w:sz w:val="21"/>
        </w:rPr>
      </w:pPr>
      <w:r>
        <w:rPr>
          <w:sz w:val="21"/>
        </w:rPr>
        <w:t>Ak sa odporúča vysokoúčinné rúško, mali by sa použiť rúška FFP2 (alebo ekvivalentné) bez ventilov.</w:t>
      </w:r>
      <w:r w:rsidR="00E277CB">
        <w:rPr>
          <w:sz w:val="21"/>
        </w:rPr>
        <w:t xml:space="preserve"> </w:t>
      </w:r>
      <w:r>
        <w:rPr>
          <w:sz w:val="21"/>
        </w:rPr>
        <w:t>Aby boli tieto rúška účinné, je potrebné ich vždy správne nosiť.</w:t>
      </w:r>
      <w:r w:rsidR="00E277CB">
        <w:rPr>
          <w:sz w:val="21"/>
        </w:rPr>
        <w:t xml:space="preserve"> </w:t>
      </w:r>
      <w:r>
        <w:rPr>
          <w:sz w:val="21"/>
        </w:rPr>
        <w:t xml:space="preserve">Test priľnavosti sa odporúča </w:t>
      </w:r>
      <w:r>
        <w:rPr>
          <w:sz w:val="21"/>
        </w:rPr>
        <w:t xml:space="preserve">najmä ľuďom, ktorí pracujú v zdravotníctve. </w:t>
      </w:r>
    </w:p>
    <w:p w:rsidR="00170306" w:rsidRDefault="00170306">
      <w:pPr>
        <w:pStyle w:val="BodyText"/>
        <w:ind w:left="0"/>
        <w:rPr>
          <w:sz w:val="22"/>
        </w:rPr>
      </w:pPr>
    </w:p>
    <w:p w:rsidR="00170306" w:rsidRDefault="008D7F3E">
      <w:pPr>
        <w:pStyle w:val="BodyText"/>
        <w:spacing w:before="161"/>
      </w:pPr>
      <w:r>
        <w:t>Literatúra</w:t>
      </w:r>
    </w:p>
    <w:p w:rsidR="00170306" w:rsidRDefault="00170306">
      <w:pPr>
        <w:pStyle w:val="BodyText"/>
        <w:ind w:left="0"/>
        <w:rPr>
          <w:sz w:val="26"/>
        </w:rPr>
      </w:pPr>
    </w:p>
    <w:p w:rsidR="00170306" w:rsidRDefault="00170306">
      <w:pPr>
        <w:pStyle w:val="BodyText"/>
        <w:ind w:left="0"/>
        <w:rPr>
          <w:sz w:val="22"/>
        </w:rPr>
      </w:pPr>
    </w:p>
    <w:p w:rsidR="00170306" w:rsidRDefault="008D7F3E">
      <w:pPr>
        <w:pStyle w:val="ListParagraph"/>
        <w:numPr>
          <w:ilvl w:val="0"/>
          <w:numId w:val="2"/>
        </w:numPr>
        <w:tabs>
          <w:tab w:val="left" w:pos="712"/>
        </w:tabs>
        <w:spacing w:line="360" w:lineRule="auto"/>
        <w:ind w:right="601" w:firstLine="0"/>
        <w:rPr>
          <w:sz w:val="24"/>
        </w:rPr>
      </w:pPr>
      <w:proofErr w:type="spellStart"/>
      <w:r>
        <w:rPr>
          <w:sz w:val="24"/>
        </w:rPr>
        <w:t>Mahase</w:t>
      </w:r>
      <w:proofErr w:type="spellEnd"/>
      <w:r>
        <w:rPr>
          <w:sz w:val="24"/>
        </w:rPr>
        <w:t xml:space="preserve"> E. Covid-19: </w:t>
      </w:r>
      <w:proofErr w:type="spellStart"/>
      <w:r>
        <w:rPr>
          <w:sz w:val="24"/>
        </w:rPr>
        <w:t>Is</w:t>
      </w:r>
      <w:proofErr w:type="spellEnd"/>
      <w:r>
        <w:rPr>
          <w:sz w:val="24"/>
        </w:rPr>
        <w:t xml:space="preserve"> </w:t>
      </w:r>
      <w:proofErr w:type="spellStart"/>
      <w:r>
        <w:rPr>
          <w:sz w:val="24"/>
        </w:rPr>
        <w:t>it</w:t>
      </w:r>
      <w:proofErr w:type="spellEnd"/>
      <w:r>
        <w:rPr>
          <w:sz w:val="24"/>
        </w:rPr>
        <w:t xml:space="preserve"> </w:t>
      </w:r>
      <w:proofErr w:type="spellStart"/>
      <w:r>
        <w:rPr>
          <w:sz w:val="24"/>
        </w:rPr>
        <w:t>safe</w:t>
      </w:r>
      <w:proofErr w:type="spellEnd"/>
      <w:r>
        <w:rPr>
          <w:sz w:val="24"/>
        </w:rPr>
        <w:t xml:space="preserve"> to </w:t>
      </w:r>
      <w:proofErr w:type="spellStart"/>
      <w:r>
        <w:rPr>
          <w:sz w:val="24"/>
        </w:rPr>
        <w:t>reduce</w:t>
      </w:r>
      <w:proofErr w:type="spellEnd"/>
      <w:r>
        <w:rPr>
          <w:sz w:val="24"/>
        </w:rPr>
        <w:t xml:space="preserve"> </w:t>
      </w:r>
      <w:proofErr w:type="spellStart"/>
      <w:r>
        <w:rPr>
          <w:sz w:val="24"/>
        </w:rPr>
        <w:t>the</w:t>
      </w:r>
      <w:proofErr w:type="spellEnd"/>
      <w:r>
        <w:rPr>
          <w:sz w:val="24"/>
        </w:rPr>
        <w:t xml:space="preserve"> </w:t>
      </w:r>
      <w:proofErr w:type="spellStart"/>
      <w:r>
        <w:rPr>
          <w:sz w:val="24"/>
        </w:rPr>
        <w:t>self-isolation</w:t>
      </w:r>
      <w:proofErr w:type="spellEnd"/>
      <w:r>
        <w:rPr>
          <w:sz w:val="24"/>
        </w:rPr>
        <w:t xml:space="preserve"> </w:t>
      </w:r>
      <w:proofErr w:type="spellStart"/>
      <w:r>
        <w:rPr>
          <w:sz w:val="24"/>
        </w:rPr>
        <w:t>period</w:t>
      </w:r>
      <w:proofErr w:type="spellEnd"/>
      <w:r>
        <w:rPr>
          <w:sz w:val="24"/>
        </w:rPr>
        <w:t xml:space="preserve">? BMJ. 2021 </w:t>
      </w:r>
      <w:proofErr w:type="spellStart"/>
      <w:r>
        <w:rPr>
          <w:sz w:val="24"/>
        </w:rPr>
        <w:t>Dec</w:t>
      </w:r>
      <w:proofErr w:type="spellEnd"/>
      <w:r>
        <w:rPr>
          <w:sz w:val="24"/>
        </w:rPr>
        <w:t xml:space="preserve"> 30;375:n3164. </w:t>
      </w:r>
      <w:proofErr w:type="spellStart"/>
      <w:r>
        <w:rPr>
          <w:sz w:val="24"/>
        </w:rPr>
        <w:t>doi</w:t>
      </w:r>
      <w:proofErr w:type="spellEnd"/>
      <w:r>
        <w:rPr>
          <w:sz w:val="24"/>
        </w:rPr>
        <w:t>: 10.1136/bmj.n3164. PMID: 34969702.</w:t>
      </w:r>
    </w:p>
    <w:p w:rsidR="00170306" w:rsidRDefault="008D7F3E">
      <w:pPr>
        <w:pStyle w:val="ListParagraph"/>
        <w:numPr>
          <w:ilvl w:val="0"/>
          <w:numId w:val="2"/>
        </w:numPr>
        <w:tabs>
          <w:tab w:val="left" w:pos="653"/>
        </w:tabs>
        <w:spacing w:line="360" w:lineRule="auto"/>
        <w:ind w:right="1292" w:firstLine="0"/>
      </w:pPr>
      <w:r>
        <w:rPr>
          <w:sz w:val="24"/>
        </w:rPr>
        <w:t xml:space="preserve">CDC. </w:t>
      </w:r>
      <w:r>
        <w:rPr>
          <w:sz w:val="24"/>
        </w:rPr>
        <w:t xml:space="preserve">CDC </w:t>
      </w:r>
      <w:proofErr w:type="spellStart"/>
      <w:r>
        <w:rPr>
          <w:sz w:val="24"/>
        </w:rPr>
        <w:t>Updates</w:t>
      </w:r>
      <w:proofErr w:type="spellEnd"/>
      <w:r>
        <w:rPr>
          <w:sz w:val="24"/>
        </w:rPr>
        <w:t xml:space="preserve"> and </w:t>
      </w:r>
      <w:proofErr w:type="spellStart"/>
      <w:r>
        <w:rPr>
          <w:sz w:val="24"/>
        </w:rPr>
        <w:t>Shortens</w:t>
      </w:r>
      <w:proofErr w:type="spellEnd"/>
      <w:r>
        <w:rPr>
          <w:sz w:val="24"/>
        </w:rPr>
        <w:t xml:space="preserve"> </w:t>
      </w:r>
      <w:proofErr w:type="spellStart"/>
      <w:r>
        <w:rPr>
          <w:sz w:val="24"/>
        </w:rPr>
        <w:t>Recommended</w:t>
      </w:r>
      <w:proofErr w:type="spellEnd"/>
      <w:r>
        <w:rPr>
          <w:sz w:val="24"/>
        </w:rPr>
        <w:t xml:space="preserve"> </w:t>
      </w:r>
      <w:proofErr w:type="spellStart"/>
      <w:r>
        <w:rPr>
          <w:sz w:val="24"/>
        </w:rPr>
        <w:t>Isolation</w:t>
      </w:r>
      <w:proofErr w:type="spellEnd"/>
      <w:r>
        <w:rPr>
          <w:sz w:val="24"/>
        </w:rPr>
        <w:t xml:space="preserve"> and </w:t>
      </w:r>
      <w:proofErr w:type="spellStart"/>
      <w:r>
        <w:rPr>
          <w:sz w:val="24"/>
        </w:rPr>
        <w:t>Quarantine</w:t>
      </w:r>
      <w:proofErr w:type="spellEnd"/>
      <w:r>
        <w:rPr>
          <w:sz w:val="24"/>
        </w:rPr>
        <w:t xml:space="preserve"> </w:t>
      </w:r>
      <w:proofErr w:type="spellStart"/>
      <w:r>
        <w:rPr>
          <w:sz w:val="24"/>
        </w:rPr>
        <w:t>Period</w:t>
      </w:r>
      <w:proofErr w:type="spellEnd"/>
      <w:r>
        <w:rPr>
          <w:sz w:val="24"/>
        </w:rPr>
        <w:t xml:space="preserve"> </w:t>
      </w:r>
      <w:proofErr w:type="spellStart"/>
      <w:r>
        <w:rPr>
          <w:sz w:val="24"/>
        </w:rPr>
        <w:t>for</w:t>
      </w:r>
      <w:proofErr w:type="spellEnd"/>
      <w:r>
        <w:rPr>
          <w:sz w:val="24"/>
        </w:rPr>
        <w:t xml:space="preserve"> General </w:t>
      </w:r>
      <w:proofErr w:type="spellStart"/>
      <w:r>
        <w:rPr>
          <w:sz w:val="24"/>
        </w:rPr>
        <w:t>Population</w:t>
      </w:r>
      <w:proofErr w:type="spellEnd"/>
      <w:r>
        <w:rPr>
          <w:sz w:val="24"/>
        </w:rPr>
        <w:t xml:space="preserve">. Dostupné na: </w:t>
      </w:r>
      <w:hyperlink r:id="rId7">
        <w:r>
          <w:rPr>
            <w:sz w:val="24"/>
            <w:u w:val="single"/>
          </w:rPr>
          <w:t>https://www.cdc.gov/media/releases/2021/s1227-isolation-quarantine-</w:t>
        </w:r>
      </w:hyperlink>
      <w:hyperlink r:id="rId8">
        <w:r>
          <w:rPr>
            <w:sz w:val="24"/>
            <w:u w:val="single"/>
          </w:rPr>
          <w:t xml:space="preserve"> </w:t>
        </w:r>
        <w:proofErr w:type="spellStart"/>
        <w:r>
          <w:rPr>
            <w:sz w:val="24"/>
            <w:u w:val="single"/>
          </w:rPr>
          <w:t>guidance.html?ACSTrackingID</w:t>
        </w:r>
        <w:proofErr w:type="spellEnd"/>
        <w:r>
          <w:rPr>
            <w:sz w:val="24"/>
            <w:u w:val="single"/>
          </w:rPr>
          <w:t>=USCDC_2067-</w:t>
        </w:r>
      </w:hyperlink>
      <w:hyperlink r:id="rId9">
        <w:r>
          <w:rPr>
            <w:sz w:val="24"/>
            <w:u w:val="single"/>
          </w:rPr>
          <w:t xml:space="preserve"> DM72880&amp;ACSTrackingLabel=Isolation%20and%20Quarantine%20%20%7C%20COVID-</w:t>
        </w:r>
      </w:hyperlink>
      <w:hyperlink r:id="rId10">
        <w:r>
          <w:rPr>
            <w:sz w:val="24"/>
            <w:u w:val="single"/>
          </w:rPr>
          <w:t xml:space="preserve"> 19&amp;deliveryName=USCDC_2067-DM72880</w:t>
        </w:r>
      </w:hyperlink>
      <w:r>
        <w:rPr>
          <w:sz w:val="24"/>
        </w:rPr>
        <w:t>.</w:t>
      </w:r>
    </w:p>
    <w:p w:rsidR="00170306" w:rsidRDefault="008D7F3E">
      <w:pPr>
        <w:pStyle w:val="ListParagraph"/>
        <w:numPr>
          <w:ilvl w:val="0"/>
          <w:numId w:val="2"/>
        </w:numPr>
        <w:tabs>
          <w:tab w:val="left" w:pos="712"/>
        </w:tabs>
        <w:spacing w:before="2"/>
        <w:ind w:left="712"/>
        <w:rPr>
          <w:sz w:val="24"/>
        </w:rPr>
      </w:pPr>
      <w:hyperlink r:id="rId11">
        <w:r>
          <w:rPr>
            <w:sz w:val="24"/>
            <w:u w:val="single"/>
          </w:rPr>
          <w:t>GOV.UK</w:t>
        </w:r>
        <w:r>
          <w:rPr>
            <w:sz w:val="24"/>
          </w:rPr>
          <w:t>.</w:t>
        </w:r>
      </w:hyperlink>
      <w:r>
        <w:rPr>
          <w:sz w:val="24"/>
        </w:rPr>
        <w:t xml:space="preserve"> </w:t>
      </w:r>
      <w:proofErr w:type="spellStart"/>
      <w:r>
        <w:rPr>
          <w:sz w:val="24"/>
        </w:rPr>
        <w:t>Stay</w:t>
      </w:r>
      <w:proofErr w:type="spellEnd"/>
      <w:r>
        <w:rPr>
          <w:sz w:val="24"/>
        </w:rPr>
        <w:t xml:space="preserve"> at </w:t>
      </w:r>
      <w:proofErr w:type="spellStart"/>
      <w:r>
        <w:rPr>
          <w:sz w:val="24"/>
        </w:rPr>
        <w:t>home</w:t>
      </w:r>
      <w:proofErr w:type="spellEnd"/>
      <w:r>
        <w:rPr>
          <w:sz w:val="24"/>
        </w:rPr>
        <w:t xml:space="preserve">: </w:t>
      </w:r>
      <w:proofErr w:type="spellStart"/>
      <w:r>
        <w:rPr>
          <w:sz w:val="24"/>
        </w:rPr>
        <w:t>guidance</w:t>
      </w:r>
      <w:proofErr w:type="spellEnd"/>
      <w:r>
        <w:rPr>
          <w:sz w:val="24"/>
        </w:rPr>
        <w:t xml:space="preserve"> </w:t>
      </w:r>
      <w:proofErr w:type="spellStart"/>
      <w:r>
        <w:rPr>
          <w:sz w:val="24"/>
        </w:rPr>
        <w:t>for</w:t>
      </w:r>
      <w:proofErr w:type="spellEnd"/>
      <w:r>
        <w:rPr>
          <w:sz w:val="24"/>
        </w:rPr>
        <w:t xml:space="preserve"> </w:t>
      </w:r>
      <w:proofErr w:type="spellStart"/>
      <w:r>
        <w:rPr>
          <w:sz w:val="24"/>
        </w:rPr>
        <w:t>households</w:t>
      </w:r>
      <w:proofErr w:type="spellEnd"/>
      <w:r>
        <w:rPr>
          <w:sz w:val="24"/>
        </w:rPr>
        <w:t xml:space="preserve"> </w:t>
      </w:r>
      <w:proofErr w:type="spellStart"/>
      <w:r>
        <w:rPr>
          <w:sz w:val="24"/>
        </w:rPr>
        <w:t>with</w:t>
      </w:r>
      <w:proofErr w:type="spellEnd"/>
      <w:r>
        <w:rPr>
          <w:sz w:val="24"/>
        </w:rPr>
        <w:t xml:space="preserve"> </w:t>
      </w:r>
      <w:proofErr w:type="spellStart"/>
      <w:r>
        <w:rPr>
          <w:sz w:val="24"/>
        </w:rPr>
        <w:t>possible</w:t>
      </w:r>
      <w:proofErr w:type="spellEnd"/>
      <w:r>
        <w:rPr>
          <w:sz w:val="24"/>
        </w:rPr>
        <w:t xml:space="preserve"> or </w:t>
      </w:r>
      <w:proofErr w:type="spellStart"/>
      <w:r>
        <w:rPr>
          <w:sz w:val="24"/>
        </w:rPr>
        <w:t>confirmed</w:t>
      </w:r>
      <w:proofErr w:type="spellEnd"/>
      <w:r>
        <w:rPr>
          <w:sz w:val="24"/>
        </w:rPr>
        <w:t xml:space="preserve"> </w:t>
      </w:r>
      <w:proofErr w:type="spellStart"/>
      <w:r>
        <w:rPr>
          <w:sz w:val="24"/>
        </w:rPr>
        <w:t>coronavirus</w:t>
      </w:r>
      <w:proofErr w:type="spellEnd"/>
      <w:r>
        <w:rPr>
          <w:sz w:val="24"/>
        </w:rPr>
        <w:t xml:space="preserve"> (COVID-</w:t>
      </w:r>
    </w:p>
    <w:p w:rsidR="00170306" w:rsidRDefault="008D7F3E">
      <w:pPr>
        <w:pStyle w:val="BodyText"/>
        <w:spacing w:before="137" w:line="360" w:lineRule="auto"/>
        <w:ind w:right="1153"/>
      </w:pPr>
      <w:r>
        <w:t xml:space="preserve">19) </w:t>
      </w:r>
      <w:proofErr w:type="spellStart"/>
      <w:r>
        <w:t>infection</w:t>
      </w:r>
      <w:proofErr w:type="spellEnd"/>
      <w:r>
        <w:t xml:space="preserve">. Dostupné na: </w:t>
      </w:r>
      <w:hyperlink r:id="rId12">
        <w:r>
          <w:rPr>
            <w:u w:val="single"/>
          </w:rPr>
          <w:t>https://www.gov.uk/government/publications/covid-19-stay-at-home-</w:t>
        </w:r>
      </w:hyperlink>
      <w:hyperlink r:id="rId13">
        <w:r>
          <w:rPr>
            <w:u w:val="single"/>
          </w:rPr>
          <w:t xml:space="preserve"> guidance/stay-at-home-guidance-for-households-with-possible-coronavirus-covid-19-infection</w:t>
        </w:r>
      </w:hyperlink>
      <w:r>
        <w:t>.</w:t>
      </w:r>
    </w:p>
    <w:p w:rsidR="00170306" w:rsidRDefault="008D7F3E">
      <w:pPr>
        <w:pStyle w:val="ListParagraph"/>
        <w:numPr>
          <w:ilvl w:val="0"/>
          <w:numId w:val="2"/>
        </w:numPr>
        <w:tabs>
          <w:tab w:val="left" w:pos="712"/>
        </w:tabs>
        <w:spacing w:line="360" w:lineRule="auto"/>
        <w:ind w:right="545" w:firstLine="0"/>
        <w:rPr>
          <w:sz w:val="24"/>
        </w:rPr>
      </w:pPr>
      <w:r>
        <w:pict>
          <v:line id="_x0000_s1027" style="position:absolute;left:0;text-align:left;z-index:-252042240;mso-position-horizontal-relative:page" from="42.6pt,95.6pt" to="200.45pt,95.6pt" strokeweight=".6pt">
            <w10:wrap anchorx="page"/>
          </v:line>
        </w:pict>
      </w:r>
      <w:hyperlink r:id="rId14">
        <w:r>
          <w:rPr>
            <w:sz w:val="24"/>
            <w:u w:val="single"/>
          </w:rPr>
          <w:t>GOV.UK</w:t>
        </w:r>
        <w:r>
          <w:rPr>
            <w:sz w:val="24"/>
          </w:rPr>
          <w:t>.</w:t>
        </w:r>
      </w:hyperlink>
      <w:r>
        <w:rPr>
          <w:sz w:val="24"/>
        </w:rPr>
        <w:t xml:space="preserve"> </w:t>
      </w:r>
      <w:proofErr w:type="spellStart"/>
      <w:r>
        <w:rPr>
          <w:sz w:val="24"/>
        </w:rPr>
        <w:t>Guidance</w:t>
      </w:r>
      <w:proofErr w:type="spellEnd"/>
      <w:r>
        <w:rPr>
          <w:sz w:val="24"/>
        </w:rPr>
        <w:t xml:space="preserve"> </w:t>
      </w:r>
      <w:proofErr w:type="spellStart"/>
      <w:r>
        <w:rPr>
          <w:sz w:val="24"/>
        </w:rPr>
        <w:t>for</w:t>
      </w:r>
      <w:proofErr w:type="spellEnd"/>
      <w:r>
        <w:rPr>
          <w:sz w:val="24"/>
        </w:rPr>
        <w:t xml:space="preserve"> </w:t>
      </w:r>
      <w:proofErr w:type="spellStart"/>
      <w:r>
        <w:rPr>
          <w:sz w:val="24"/>
        </w:rPr>
        <w:t>contacts</w:t>
      </w:r>
      <w:proofErr w:type="spellEnd"/>
      <w:r>
        <w:rPr>
          <w:sz w:val="24"/>
        </w:rPr>
        <w:t xml:space="preserve"> of </w:t>
      </w:r>
      <w:proofErr w:type="spellStart"/>
      <w:r>
        <w:rPr>
          <w:sz w:val="24"/>
        </w:rPr>
        <w:t>people</w:t>
      </w:r>
      <w:proofErr w:type="spellEnd"/>
      <w:r>
        <w:rPr>
          <w:sz w:val="24"/>
        </w:rPr>
        <w:t xml:space="preserve"> </w:t>
      </w:r>
      <w:proofErr w:type="spellStart"/>
      <w:r>
        <w:rPr>
          <w:sz w:val="24"/>
        </w:rPr>
        <w:t>with</w:t>
      </w:r>
      <w:proofErr w:type="spellEnd"/>
      <w:r>
        <w:rPr>
          <w:sz w:val="24"/>
        </w:rPr>
        <w:t xml:space="preserve"> </w:t>
      </w:r>
      <w:proofErr w:type="spellStart"/>
      <w:r>
        <w:rPr>
          <w:sz w:val="24"/>
        </w:rPr>
        <w:t>confirmed</w:t>
      </w:r>
      <w:proofErr w:type="spellEnd"/>
      <w:r>
        <w:rPr>
          <w:sz w:val="24"/>
        </w:rPr>
        <w:t xml:space="preserve"> </w:t>
      </w:r>
      <w:proofErr w:type="spellStart"/>
      <w:r>
        <w:rPr>
          <w:sz w:val="24"/>
        </w:rPr>
        <w:t>coronavirus</w:t>
      </w:r>
      <w:proofErr w:type="spellEnd"/>
      <w:r>
        <w:rPr>
          <w:sz w:val="24"/>
        </w:rPr>
        <w:t xml:space="preserve"> (COVID-19) </w:t>
      </w:r>
      <w:proofErr w:type="spellStart"/>
      <w:r>
        <w:rPr>
          <w:sz w:val="24"/>
        </w:rPr>
        <w:t>infection</w:t>
      </w:r>
      <w:proofErr w:type="spellEnd"/>
      <w:r>
        <w:rPr>
          <w:sz w:val="24"/>
        </w:rPr>
        <w:t xml:space="preserve"> </w:t>
      </w:r>
      <w:proofErr w:type="spellStart"/>
      <w:r>
        <w:rPr>
          <w:sz w:val="24"/>
        </w:rPr>
        <w:t>who</w:t>
      </w:r>
      <w:proofErr w:type="spellEnd"/>
      <w:r>
        <w:rPr>
          <w:sz w:val="24"/>
        </w:rPr>
        <w:t xml:space="preserve"> do </w:t>
      </w:r>
      <w:proofErr w:type="spellStart"/>
      <w:r>
        <w:rPr>
          <w:sz w:val="24"/>
        </w:rPr>
        <w:t>not</w:t>
      </w:r>
      <w:proofErr w:type="spellEnd"/>
      <w:r>
        <w:rPr>
          <w:sz w:val="24"/>
        </w:rPr>
        <w:t xml:space="preserve"> </w:t>
      </w:r>
      <w:proofErr w:type="spellStart"/>
      <w:r>
        <w:rPr>
          <w:sz w:val="24"/>
        </w:rPr>
        <w:t>live</w:t>
      </w:r>
      <w:proofErr w:type="spellEnd"/>
      <w:r>
        <w:rPr>
          <w:sz w:val="24"/>
        </w:rPr>
        <w:t xml:space="preserve"> </w:t>
      </w:r>
      <w:proofErr w:type="spellStart"/>
      <w:r>
        <w:rPr>
          <w:sz w:val="24"/>
        </w:rPr>
        <w:t>with</w:t>
      </w:r>
      <w:proofErr w:type="spellEnd"/>
      <w:r>
        <w:rPr>
          <w:sz w:val="24"/>
        </w:rPr>
        <w:t xml:space="preserve"> </w:t>
      </w:r>
      <w:proofErr w:type="spellStart"/>
      <w:r>
        <w:rPr>
          <w:sz w:val="24"/>
        </w:rPr>
        <w:t>the</w:t>
      </w:r>
      <w:proofErr w:type="spellEnd"/>
      <w:r>
        <w:rPr>
          <w:sz w:val="24"/>
        </w:rPr>
        <w:t xml:space="preserve"> person. Dostupné na:</w:t>
      </w:r>
      <w:hyperlink r:id="rId15">
        <w:r>
          <w:rPr>
            <w:sz w:val="24"/>
          </w:rPr>
          <w:t xml:space="preserve"> </w:t>
        </w:r>
        <w:r>
          <w:rPr>
            <w:sz w:val="24"/>
            <w:u w:val="single"/>
          </w:rPr>
          <w:t>https://www.gov.uk/government/publications/guidance-for-</w:t>
        </w:r>
      </w:hyperlink>
      <w:hyperlink r:id="rId16">
        <w:r>
          <w:rPr>
            <w:sz w:val="24"/>
            <w:u w:val="single"/>
          </w:rPr>
          <w:t xml:space="preserve"> contacts-of-people-with-possible-or-confirmed-coronavirus-covid-19-infection-who-do-not-live-with-</w:t>
        </w:r>
      </w:hyperlink>
      <w:hyperlink r:id="rId17">
        <w:r>
          <w:rPr>
            <w:sz w:val="24"/>
            <w:u w:val="single"/>
          </w:rPr>
          <w:t xml:space="preserve"> the-person/guidance-for-contacts-of-people-with-possible-o</w:t>
        </w:r>
        <w:r>
          <w:rPr>
            <w:sz w:val="24"/>
            <w:u w:val="single"/>
          </w:rPr>
          <w:t>r-confirmed-coronavirus-covid-19-infection-</w:t>
        </w:r>
      </w:hyperlink>
      <w:hyperlink r:id="rId18">
        <w:r>
          <w:rPr>
            <w:sz w:val="24"/>
          </w:rPr>
          <w:t xml:space="preserve"> </w:t>
        </w:r>
        <w:proofErr w:type="spellStart"/>
        <w:r>
          <w:rPr>
            <w:sz w:val="24"/>
          </w:rPr>
          <w:t>who</w:t>
        </w:r>
        <w:proofErr w:type="spellEnd"/>
        <w:r>
          <w:rPr>
            <w:sz w:val="24"/>
          </w:rPr>
          <w:t>-do-</w:t>
        </w:r>
        <w:proofErr w:type="spellStart"/>
        <w:r>
          <w:rPr>
            <w:sz w:val="24"/>
          </w:rPr>
          <w:t>not</w:t>
        </w:r>
        <w:proofErr w:type="spellEnd"/>
        <w:r>
          <w:rPr>
            <w:sz w:val="24"/>
          </w:rPr>
          <w:t>-</w:t>
        </w:r>
        <w:proofErr w:type="spellStart"/>
        <w:r>
          <w:rPr>
            <w:sz w:val="24"/>
          </w:rPr>
          <w:t>live</w:t>
        </w:r>
        <w:proofErr w:type="spellEnd"/>
        <w:r>
          <w:rPr>
            <w:sz w:val="24"/>
          </w:rPr>
          <w:t>-</w:t>
        </w:r>
        <w:proofErr w:type="spellStart"/>
        <w:r>
          <w:rPr>
            <w:sz w:val="24"/>
          </w:rPr>
          <w:t>with</w:t>
        </w:r>
        <w:proofErr w:type="spellEnd"/>
        <w:r>
          <w:rPr>
            <w:sz w:val="24"/>
          </w:rPr>
          <w:t>-</w:t>
        </w:r>
        <w:proofErr w:type="spellStart"/>
        <w:r>
          <w:rPr>
            <w:sz w:val="24"/>
          </w:rPr>
          <w:t>the</w:t>
        </w:r>
        <w:proofErr w:type="spellEnd"/>
        <w:r>
          <w:rPr>
            <w:sz w:val="24"/>
          </w:rPr>
          <w:t>-person.</w:t>
        </w:r>
      </w:hyperlink>
    </w:p>
    <w:p w:rsidR="00170306" w:rsidRDefault="008D7F3E">
      <w:pPr>
        <w:pStyle w:val="ListParagraph"/>
        <w:numPr>
          <w:ilvl w:val="0"/>
          <w:numId w:val="2"/>
        </w:numPr>
        <w:tabs>
          <w:tab w:val="left" w:pos="712"/>
        </w:tabs>
        <w:spacing w:before="2" w:line="360" w:lineRule="auto"/>
        <w:ind w:right="559" w:firstLine="0"/>
        <w:rPr>
          <w:sz w:val="24"/>
        </w:rPr>
      </w:pPr>
      <w:r>
        <w:pict>
          <v:line id="_x0000_s1026" style="position:absolute;left:0;text-align:left;z-index:-252041216;mso-position-horizontal-relative:page" from="198.4pt,33.6pt" to="506.4pt,33.6pt" strokeweight=".6pt">
            <w10:wrap anchorx="page"/>
          </v:line>
        </w:pict>
      </w:r>
      <w:r>
        <w:rPr>
          <w:sz w:val="24"/>
        </w:rPr>
        <w:t xml:space="preserve">CDC. </w:t>
      </w:r>
      <w:proofErr w:type="spellStart"/>
      <w:r>
        <w:rPr>
          <w:sz w:val="24"/>
        </w:rPr>
        <w:t>Interim</w:t>
      </w:r>
      <w:proofErr w:type="spellEnd"/>
      <w:r>
        <w:rPr>
          <w:sz w:val="24"/>
        </w:rPr>
        <w:t xml:space="preserve"> </w:t>
      </w:r>
      <w:proofErr w:type="spellStart"/>
      <w:r>
        <w:rPr>
          <w:sz w:val="24"/>
        </w:rPr>
        <w:t>Guidance</w:t>
      </w:r>
      <w:proofErr w:type="spellEnd"/>
      <w:r>
        <w:rPr>
          <w:sz w:val="24"/>
        </w:rPr>
        <w:t xml:space="preserve"> </w:t>
      </w:r>
      <w:proofErr w:type="spellStart"/>
      <w:r>
        <w:rPr>
          <w:sz w:val="24"/>
        </w:rPr>
        <w:t>for</w:t>
      </w:r>
      <w:proofErr w:type="spellEnd"/>
      <w:r>
        <w:rPr>
          <w:sz w:val="24"/>
        </w:rPr>
        <w:t xml:space="preserve"> </w:t>
      </w:r>
      <w:proofErr w:type="spellStart"/>
      <w:r>
        <w:rPr>
          <w:sz w:val="24"/>
        </w:rPr>
        <w:t>Managing</w:t>
      </w:r>
      <w:proofErr w:type="spellEnd"/>
      <w:r>
        <w:rPr>
          <w:sz w:val="24"/>
        </w:rPr>
        <w:t xml:space="preserve"> </w:t>
      </w:r>
      <w:proofErr w:type="spellStart"/>
      <w:r>
        <w:rPr>
          <w:sz w:val="24"/>
        </w:rPr>
        <w:t>Healthcare</w:t>
      </w:r>
      <w:proofErr w:type="spellEnd"/>
      <w:r>
        <w:rPr>
          <w:sz w:val="24"/>
        </w:rPr>
        <w:t xml:space="preserve"> </w:t>
      </w:r>
      <w:proofErr w:type="spellStart"/>
      <w:r>
        <w:rPr>
          <w:sz w:val="24"/>
        </w:rPr>
        <w:t>Personnel</w:t>
      </w:r>
      <w:proofErr w:type="spellEnd"/>
      <w:r>
        <w:rPr>
          <w:sz w:val="24"/>
        </w:rPr>
        <w:t xml:space="preserve"> </w:t>
      </w:r>
      <w:proofErr w:type="spellStart"/>
      <w:r>
        <w:rPr>
          <w:sz w:val="24"/>
        </w:rPr>
        <w:t>with</w:t>
      </w:r>
      <w:proofErr w:type="spellEnd"/>
      <w:r>
        <w:rPr>
          <w:sz w:val="24"/>
        </w:rPr>
        <w:t xml:space="preserve"> SARS-CoV-2 </w:t>
      </w:r>
      <w:proofErr w:type="spellStart"/>
      <w:r>
        <w:rPr>
          <w:sz w:val="24"/>
        </w:rPr>
        <w:t>Infection</w:t>
      </w:r>
      <w:proofErr w:type="spellEnd"/>
      <w:r>
        <w:rPr>
          <w:sz w:val="24"/>
        </w:rPr>
        <w:t xml:space="preserve"> or </w:t>
      </w:r>
      <w:proofErr w:type="spellStart"/>
      <w:r>
        <w:rPr>
          <w:sz w:val="24"/>
        </w:rPr>
        <w:t>Exposure</w:t>
      </w:r>
      <w:proofErr w:type="spellEnd"/>
      <w:r>
        <w:rPr>
          <w:sz w:val="24"/>
        </w:rPr>
        <w:t xml:space="preserve"> </w:t>
      </w:r>
      <w:hyperlink r:id="rId19">
        <w:r>
          <w:rPr>
            <w:sz w:val="24"/>
          </w:rPr>
          <w:t>to SARS-CoV-2.</w:t>
        </w:r>
      </w:hyperlink>
      <w:hyperlink r:id="rId20">
        <w:r>
          <w:rPr>
            <w:sz w:val="24"/>
          </w:rPr>
          <w:t>Dostupné na:</w:t>
        </w:r>
      </w:hyperlink>
      <w:hyperlink r:id="rId21">
        <w:r>
          <w:rPr>
            <w:sz w:val="24"/>
          </w:rPr>
          <w:t xml:space="preserve"> https://www.cdc.gov/coronavirus/2019-ncov/hcp/guidance-risk-</w:t>
        </w:r>
      </w:hyperlink>
      <w:hyperlink r:id="rId22">
        <w:r>
          <w:rPr>
            <w:sz w:val="24"/>
            <w:u w:val="single"/>
          </w:rPr>
          <w:t xml:space="preserve"> assesment-hcp.html</w:t>
        </w:r>
      </w:hyperlink>
      <w:r>
        <w:rPr>
          <w:sz w:val="24"/>
        </w:rPr>
        <w:t>.</w:t>
      </w:r>
    </w:p>
    <w:p w:rsidR="00170306" w:rsidRDefault="00170306">
      <w:pPr>
        <w:spacing w:line="360" w:lineRule="auto"/>
        <w:rPr>
          <w:sz w:val="24"/>
        </w:rPr>
        <w:sectPr w:rsidR="00170306">
          <w:pgSz w:w="11910" w:h="16840"/>
          <w:pgMar w:top="740" w:right="440" w:bottom="280" w:left="38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170306" w:rsidRDefault="008D7F3E">
      <w:pPr>
        <w:pStyle w:val="ListParagraph"/>
        <w:numPr>
          <w:ilvl w:val="0"/>
          <w:numId w:val="2"/>
        </w:numPr>
        <w:tabs>
          <w:tab w:val="left" w:pos="712"/>
        </w:tabs>
        <w:spacing w:before="73" w:line="360" w:lineRule="auto"/>
        <w:ind w:right="942" w:firstLine="0"/>
        <w:rPr>
          <w:sz w:val="24"/>
        </w:rPr>
      </w:pPr>
      <w:hyperlink r:id="rId23">
        <w:r>
          <w:rPr>
            <w:sz w:val="24"/>
            <w:u w:val="single"/>
          </w:rPr>
          <w:t>GOV.UK</w:t>
        </w:r>
        <w:r>
          <w:rPr>
            <w:sz w:val="24"/>
          </w:rPr>
          <w:t>.</w:t>
        </w:r>
      </w:hyperlink>
      <w:r>
        <w:rPr>
          <w:sz w:val="24"/>
        </w:rPr>
        <w:t xml:space="preserve"> COVID-19: management of </w:t>
      </w:r>
      <w:proofErr w:type="spellStart"/>
      <w:r>
        <w:rPr>
          <w:sz w:val="24"/>
        </w:rPr>
        <w:t>staff</w:t>
      </w:r>
      <w:proofErr w:type="spellEnd"/>
      <w:r>
        <w:rPr>
          <w:sz w:val="24"/>
        </w:rPr>
        <w:t xml:space="preserve"> and </w:t>
      </w:r>
      <w:proofErr w:type="spellStart"/>
      <w:r>
        <w:rPr>
          <w:sz w:val="24"/>
        </w:rPr>
        <w:t>exposed</w:t>
      </w:r>
      <w:proofErr w:type="spellEnd"/>
      <w:r>
        <w:rPr>
          <w:sz w:val="24"/>
        </w:rPr>
        <w:t xml:space="preserve"> </w:t>
      </w:r>
      <w:proofErr w:type="spellStart"/>
      <w:r>
        <w:rPr>
          <w:sz w:val="24"/>
        </w:rPr>
        <w:t>patients</w:t>
      </w:r>
      <w:proofErr w:type="spellEnd"/>
      <w:r>
        <w:rPr>
          <w:sz w:val="24"/>
        </w:rPr>
        <w:t xml:space="preserve"> or </w:t>
      </w:r>
      <w:proofErr w:type="spellStart"/>
      <w:r>
        <w:rPr>
          <w:sz w:val="24"/>
        </w:rPr>
        <w:t>residents</w:t>
      </w:r>
      <w:proofErr w:type="spellEnd"/>
      <w:r>
        <w:rPr>
          <w:sz w:val="24"/>
        </w:rPr>
        <w:t xml:space="preserve"> in </w:t>
      </w:r>
      <w:proofErr w:type="spellStart"/>
      <w:r>
        <w:rPr>
          <w:sz w:val="24"/>
        </w:rPr>
        <w:t>health</w:t>
      </w:r>
      <w:proofErr w:type="spellEnd"/>
      <w:r>
        <w:rPr>
          <w:sz w:val="24"/>
        </w:rPr>
        <w:t xml:space="preserve"> and </w:t>
      </w:r>
      <w:proofErr w:type="spellStart"/>
      <w:r>
        <w:rPr>
          <w:sz w:val="24"/>
        </w:rPr>
        <w:t>social</w:t>
      </w:r>
      <w:proofErr w:type="spellEnd"/>
      <w:r>
        <w:rPr>
          <w:sz w:val="24"/>
        </w:rPr>
        <w:t xml:space="preserve"> </w:t>
      </w:r>
      <w:proofErr w:type="spellStart"/>
      <w:r>
        <w:rPr>
          <w:sz w:val="24"/>
        </w:rPr>
        <w:t>care</w:t>
      </w:r>
      <w:proofErr w:type="spellEnd"/>
      <w:r>
        <w:rPr>
          <w:sz w:val="24"/>
        </w:rPr>
        <w:t xml:space="preserve"> </w:t>
      </w:r>
      <w:proofErr w:type="spellStart"/>
      <w:r>
        <w:rPr>
          <w:sz w:val="24"/>
        </w:rPr>
        <w:t>settings</w:t>
      </w:r>
      <w:proofErr w:type="spellEnd"/>
      <w:r>
        <w:rPr>
          <w:sz w:val="24"/>
        </w:rPr>
        <w:t>. Dostupné na:</w:t>
      </w:r>
      <w:hyperlink r:id="rId24">
        <w:r>
          <w:rPr>
            <w:sz w:val="24"/>
          </w:rPr>
          <w:t xml:space="preserve"> </w:t>
        </w:r>
        <w:r>
          <w:rPr>
            <w:sz w:val="24"/>
            <w:u w:val="single"/>
          </w:rPr>
          <w:t>https://www.gov.uk/government/publications/covid-19-management-of-</w:t>
        </w:r>
      </w:hyperlink>
      <w:hyperlink r:id="rId25">
        <w:r>
          <w:rPr>
            <w:sz w:val="24"/>
            <w:u w:val="single"/>
          </w:rPr>
          <w:t xml:space="preserve"> exposed-healthcare-workers-and-pati</w:t>
        </w:r>
        <w:r>
          <w:rPr>
            <w:sz w:val="24"/>
            <w:u w:val="single"/>
          </w:rPr>
          <w:t>ents-in-hospital-settings/covid-19-management-of-exposed-</w:t>
        </w:r>
      </w:hyperlink>
      <w:hyperlink r:id="rId26">
        <w:r>
          <w:rPr>
            <w:sz w:val="24"/>
            <w:u w:val="single"/>
          </w:rPr>
          <w:t xml:space="preserve"> </w:t>
        </w:r>
        <w:proofErr w:type="spellStart"/>
        <w:r>
          <w:rPr>
            <w:sz w:val="24"/>
            <w:u w:val="single"/>
          </w:rPr>
          <w:t>healthcare</w:t>
        </w:r>
        <w:proofErr w:type="spellEnd"/>
        <w:r>
          <w:rPr>
            <w:sz w:val="24"/>
            <w:u w:val="single"/>
          </w:rPr>
          <w:t>-</w:t>
        </w:r>
        <w:proofErr w:type="spellStart"/>
        <w:r>
          <w:rPr>
            <w:sz w:val="24"/>
            <w:u w:val="single"/>
          </w:rPr>
          <w:t>workers</w:t>
        </w:r>
        <w:proofErr w:type="spellEnd"/>
        <w:r>
          <w:rPr>
            <w:sz w:val="24"/>
            <w:u w:val="single"/>
          </w:rPr>
          <w:t>-and-</w:t>
        </w:r>
        <w:proofErr w:type="spellStart"/>
        <w:r>
          <w:rPr>
            <w:sz w:val="24"/>
            <w:u w:val="single"/>
          </w:rPr>
          <w:t>patients</w:t>
        </w:r>
        <w:proofErr w:type="spellEnd"/>
        <w:r>
          <w:rPr>
            <w:sz w:val="24"/>
            <w:u w:val="single"/>
          </w:rPr>
          <w:t>-in-</w:t>
        </w:r>
        <w:proofErr w:type="spellStart"/>
        <w:r>
          <w:rPr>
            <w:sz w:val="24"/>
            <w:u w:val="single"/>
          </w:rPr>
          <w:t>hospital</w:t>
        </w:r>
        <w:proofErr w:type="spellEnd"/>
        <w:r>
          <w:rPr>
            <w:sz w:val="24"/>
            <w:u w:val="single"/>
          </w:rPr>
          <w:t>-</w:t>
        </w:r>
        <w:proofErr w:type="spellStart"/>
        <w:r>
          <w:rPr>
            <w:sz w:val="24"/>
            <w:u w:val="single"/>
          </w:rPr>
          <w:t>settings</w:t>
        </w:r>
        <w:proofErr w:type="spellEnd"/>
        <w:r>
          <w:rPr>
            <w:sz w:val="24"/>
          </w:rPr>
          <w:t>.</w:t>
        </w:r>
      </w:hyperlink>
    </w:p>
    <w:p w:rsidR="00170306" w:rsidRDefault="008D7F3E">
      <w:pPr>
        <w:pStyle w:val="ListParagraph"/>
        <w:numPr>
          <w:ilvl w:val="0"/>
          <w:numId w:val="2"/>
        </w:numPr>
        <w:tabs>
          <w:tab w:val="left" w:pos="712"/>
        </w:tabs>
        <w:spacing w:before="1" w:line="360" w:lineRule="auto"/>
        <w:ind w:right="745" w:firstLine="0"/>
        <w:rPr>
          <w:sz w:val="24"/>
        </w:rPr>
      </w:pPr>
      <w:proofErr w:type="spellStart"/>
      <w:r>
        <w:rPr>
          <w:sz w:val="24"/>
        </w:rPr>
        <w:t>European</w:t>
      </w:r>
      <w:proofErr w:type="spellEnd"/>
      <w:r>
        <w:rPr>
          <w:sz w:val="24"/>
        </w:rPr>
        <w:t xml:space="preserve"> Center </w:t>
      </w:r>
      <w:proofErr w:type="spellStart"/>
      <w:r>
        <w:rPr>
          <w:sz w:val="24"/>
        </w:rPr>
        <w:t>for</w:t>
      </w:r>
      <w:proofErr w:type="spellEnd"/>
      <w:r>
        <w:rPr>
          <w:sz w:val="24"/>
        </w:rPr>
        <w:t xml:space="preserve"> </w:t>
      </w:r>
      <w:proofErr w:type="spellStart"/>
      <w:r>
        <w:rPr>
          <w:sz w:val="24"/>
        </w:rPr>
        <w:t>Disease</w:t>
      </w:r>
      <w:proofErr w:type="spellEnd"/>
      <w:r>
        <w:rPr>
          <w:sz w:val="24"/>
        </w:rPr>
        <w:t xml:space="preserve"> </w:t>
      </w:r>
      <w:proofErr w:type="spellStart"/>
      <w:r>
        <w:rPr>
          <w:sz w:val="24"/>
        </w:rPr>
        <w:t>Prevention</w:t>
      </w:r>
      <w:proofErr w:type="spellEnd"/>
      <w:r>
        <w:rPr>
          <w:sz w:val="24"/>
        </w:rPr>
        <w:t xml:space="preserve"> and </w:t>
      </w:r>
      <w:proofErr w:type="spellStart"/>
      <w:r>
        <w:rPr>
          <w:sz w:val="24"/>
        </w:rPr>
        <w:t>Contact</w:t>
      </w:r>
      <w:proofErr w:type="spellEnd"/>
      <w:r>
        <w:rPr>
          <w:sz w:val="24"/>
        </w:rPr>
        <w:t xml:space="preserve">. </w:t>
      </w:r>
      <w:proofErr w:type="spellStart"/>
      <w:r>
        <w:rPr>
          <w:sz w:val="24"/>
        </w:rPr>
        <w:t>Contact</w:t>
      </w:r>
      <w:proofErr w:type="spellEnd"/>
      <w:r>
        <w:rPr>
          <w:sz w:val="24"/>
        </w:rPr>
        <w:t xml:space="preserve"> </w:t>
      </w:r>
      <w:proofErr w:type="spellStart"/>
      <w:r>
        <w:rPr>
          <w:sz w:val="24"/>
        </w:rPr>
        <w:t>tracing</w:t>
      </w:r>
      <w:proofErr w:type="spellEnd"/>
      <w:r>
        <w:rPr>
          <w:sz w:val="24"/>
        </w:rPr>
        <w:t xml:space="preserve"> in </w:t>
      </w:r>
      <w:proofErr w:type="spellStart"/>
      <w:r>
        <w:rPr>
          <w:sz w:val="24"/>
        </w:rPr>
        <w:t>the</w:t>
      </w:r>
      <w:proofErr w:type="spellEnd"/>
      <w:r>
        <w:rPr>
          <w:sz w:val="24"/>
        </w:rPr>
        <w:t xml:space="preserve"> </w:t>
      </w:r>
      <w:proofErr w:type="spellStart"/>
      <w:r>
        <w:rPr>
          <w:sz w:val="24"/>
        </w:rPr>
        <w:t>European</w:t>
      </w:r>
      <w:proofErr w:type="spellEnd"/>
      <w:r>
        <w:rPr>
          <w:sz w:val="24"/>
        </w:rPr>
        <w:t xml:space="preserve"> </w:t>
      </w:r>
      <w:proofErr w:type="spellStart"/>
      <w:r>
        <w:rPr>
          <w:sz w:val="24"/>
        </w:rPr>
        <w:t>Union</w:t>
      </w:r>
      <w:proofErr w:type="spellEnd"/>
      <w:r>
        <w:rPr>
          <w:sz w:val="24"/>
        </w:rPr>
        <w:t xml:space="preserve">: </w:t>
      </w:r>
      <w:proofErr w:type="spellStart"/>
      <w:r>
        <w:rPr>
          <w:sz w:val="24"/>
        </w:rPr>
        <w:t>public</w:t>
      </w:r>
      <w:proofErr w:type="spellEnd"/>
      <w:r>
        <w:rPr>
          <w:sz w:val="24"/>
        </w:rPr>
        <w:t xml:space="preserve"> </w:t>
      </w:r>
      <w:proofErr w:type="spellStart"/>
      <w:r>
        <w:rPr>
          <w:sz w:val="24"/>
        </w:rPr>
        <w:t>health</w:t>
      </w:r>
      <w:proofErr w:type="spellEnd"/>
      <w:r>
        <w:rPr>
          <w:sz w:val="24"/>
        </w:rPr>
        <w:t xml:space="preserve"> management of </w:t>
      </w:r>
      <w:proofErr w:type="spellStart"/>
      <w:r>
        <w:rPr>
          <w:sz w:val="24"/>
        </w:rPr>
        <w:t>persons</w:t>
      </w:r>
      <w:proofErr w:type="spellEnd"/>
      <w:r>
        <w:rPr>
          <w:sz w:val="24"/>
        </w:rPr>
        <w:t xml:space="preserve">, </w:t>
      </w:r>
      <w:proofErr w:type="spellStart"/>
      <w:r>
        <w:rPr>
          <w:sz w:val="24"/>
        </w:rPr>
        <w:t>including</w:t>
      </w:r>
      <w:proofErr w:type="spellEnd"/>
      <w:r>
        <w:rPr>
          <w:sz w:val="24"/>
        </w:rPr>
        <w:t xml:space="preserve"> </w:t>
      </w:r>
      <w:proofErr w:type="spellStart"/>
      <w:r>
        <w:rPr>
          <w:sz w:val="24"/>
        </w:rPr>
        <w:t>healthcare</w:t>
      </w:r>
      <w:proofErr w:type="spellEnd"/>
      <w:r>
        <w:rPr>
          <w:sz w:val="24"/>
        </w:rPr>
        <w:t xml:space="preserve"> </w:t>
      </w:r>
      <w:proofErr w:type="spellStart"/>
      <w:r>
        <w:rPr>
          <w:sz w:val="24"/>
        </w:rPr>
        <w:t>workers</w:t>
      </w:r>
      <w:proofErr w:type="spellEnd"/>
      <w:r>
        <w:rPr>
          <w:sz w:val="24"/>
        </w:rPr>
        <w:t xml:space="preserve">, </w:t>
      </w:r>
      <w:proofErr w:type="spellStart"/>
      <w:r>
        <w:rPr>
          <w:sz w:val="24"/>
        </w:rPr>
        <w:t>who</w:t>
      </w:r>
      <w:proofErr w:type="spellEnd"/>
      <w:r>
        <w:rPr>
          <w:sz w:val="24"/>
        </w:rPr>
        <w:t xml:space="preserve"> </w:t>
      </w:r>
      <w:proofErr w:type="spellStart"/>
      <w:r>
        <w:rPr>
          <w:sz w:val="24"/>
        </w:rPr>
        <w:t>have</w:t>
      </w:r>
      <w:proofErr w:type="spellEnd"/>
      <w:r>
        <w:rPr>
          <w:sz w:val="24"/>
        </w:rPr>
        <w:t xml:space="preserve"> had</w:t>
      </w:r>
      <w:r>
        <w:rPr>
          <w:sz w:val="24"/>
        </w:rPr>
        <w:t xml:space="preserve"> </w:t>
      </w:r>
      <w:proofErr w:type="spellStart"/>
      <w:r>
        <w:rPr>
          <w:sz w:val="24"/>
        </w:rPr>
        <w:t>contact</w:t>
      </w:r>
      <w:proofErr w:type="spellEnd"/>
      <w:r>
        <w:rPr>
          <w:sz w:val="24"/>
        </w:rPr>
        <w:t xml:space="preserve"> </w:t>
      </w:r>
      <w:proofErr w:type="spellStart"/>
      <w:r>
        <w:rPr>
          <w:sz w:val="24"/>
        </w:rPr>
        <w:t>with</w:t>
      </w:r>
      <w:proofErr w:type="spellEnd"/>
      <w:r>
        <w:rPr>
          <w:sz w:val="24"/>
        </w:rPr>
        <w:t xml:space="preserve"> COVID-19 </w:t>
      </w:r>
      <w:proofErr w:type="spellStart"/>
      <w:r>
        <w:rPr>
          <w:sz w:val="24"/>
        </w:rPr>
        <w:t>cases</w:t>
      </w:r>
      <w:proofErr w:type="spellEnd"/>
      <w:r>
        <w:rPr>
          <w:sz w:val="24"/>
        </w:rPr>
        <w:t xml:space="preserve"> – </w:t>
      </w:r>
      <w:proofErr w:type="spellStart"/>
      <w:r>
        <w:rPr>
          <w:sz w:val="24"/>
        </w:rPr>
        <w:t>fourth</w:t>
      </w:r>
      <w:proofErr w:type="spellEnd"/>
      <w:r>
        <w:rPr>
          <w:sz w:val="24"/>
        </w:rPr>
        <w:t xml:space="preserve"> update. Dostupné na:</w:t>
      </w:r>
      <w:r>
        <w:rPr>
          <w:color w:val="0000FF"/>
          <w:sz w:val="24"/>
        </w:rPr>
        <w:t xml:space="preserve"> </w:t>
      </w:r>
      <w:hyperlink r:id="rId27">
        <w:r>
          <w:rPr>
            <w:color w:val="0000FF"/>
            <w:sz w:val="24"/>
            <w:u w:val="single" w:color="0000FF"/>
          </w:rPr>
          <w:t>https://www.ecdc.europa.eu/sites/default/files/documents/TGU-</w:t>
        </w:r>
      </w:hyperlink>
      <w:hyperlink r:id="rId28">
        <w:r>
          <w:rPr>
            <w:color w:val="0000FF"/>
            <w:sz w:val="24"/>
            <w:u w:val="single" w:color="0000FF"/>
          </w:rPr>
          <w:t xml:space="preserve"> 20211019-1878.pdf</w:t>
        </w:r>
      </w:hyperlink>
      <w:r>
        <w:rPr>
          <w:sz w:val="24"/>
        </w:rPr>
        <w:t>.</w:t>
      </w:r>
    </w:p>
    <w:p w:rsidR="00170306" w:rsidRDefault="008D7F3E">
      <w:pPr>
        <w:pStyle w:val="ListParagraph"/>
        <w:numPr>
          <w:ilvl w:val="0"/>
          <w:numId w:val="2"/>
        </w:numPr>
        <w:tabs>
          <w:tab w:val="left" w:pos="712"/>
        </w:tabs>
        <w:spacing w:line="360" w:lineRule="auto"/>
        <w:ind w:right="2318" w:firstLine="0"/>
        <w:rPr>
          <w:sz w:val="24"/>
        </w:rPr>
      </w:pPr>
      <w:r>
        <w:rPr>
          <w:sz w:val="24"/>
        </w:rPr>
        <w:t xml:space="preserve">Centre </w:t>
      </w:r>
      <w:proofErr w:type="spellStart"/>
      <w:r>
        <w:rPr>
          <w:sz w:val="24"/>
        </w:rPr>
        <w:t>for</w:t>
      </w:r>
      <w:proofErr w:type="spellEnd"/>
      <w:r>
        <w:rPr>
          <w:sz w:val="24"/>
        </w:rPr>
        <w:t xml:space="preserve"> </w:t>
      </w:r>
      <w:proofErr w:type="spellStart"/>
      <w:r>
        <w:rPr>
          <w:sz w:val="24"/>
        </w:rPr>
        <w:t>Disease</w:t>
      </w:r>
      <w:proofErr w:type="spellEnd"/>
      <w:r>
        <w:rPr>
          <w:sz w:val="24"/>
        </w:rPr>
        <w:t xml:space="preserve"> </w:t>
      </w:r>
      <w:proofErr w:type="spellStart"/>
      <w:r>
        <w:rPr>
          <w:sz w:val="24"/>
        </w:rPr>
        <w:t>Prevention</w:t>
      </w:r>
      <w:proofErr w:type="spellEnd"/>
      <w:r>
        <w:rPr>
          <w:sz w:val="24"/>
        </w:rPr>
        <w:t xml:space="preserve"> and </w:t>
      </w:r>
      <w:proofErr w:type="spellStart"/>
      <w:r>
        <w:rPr>
          <w:sz w:val="24"/>
        </w:rPr>
        <w:t>Control</w:t>
      </w:r>
      <w:proofErr w:type="spellEnd"/>
      <w:r>
        <w:rPr>
          <w:sz w:val="24"/>
        </w:rPr>
        <w:t xml:space="preserve">. </w:t>
      </w:r>
      <w:proofErr w:type="spellStart"/>
      <w:r>
        <w:rPr>
          <w:sz w:val="24"/>
        </w:rPr>
        <w:t>Quarantine</w:t>
      </w:r>
      <w:proofErr w:type="spellEnd"/>
      <w:r>
        <w:rPr>
          <w:sz w:val="24"/>
        </w:rPr>
        <w:t xml:space="preserve"> and </w:t>
      </w:r>
      <w:proofErr w:type="spellStart"/>
      <w:r>
        <w:rPr>
          <w:sz w:val="24"/>
        </w:rPr>
        <w:t>Isolation</w:t>
      </w:r>
      <w:proofErr w:type="spellEnd"/>
      <w:r>
        <w:rPr>
          <w:sz w:val="24"/>
        </w:rPr>
        <w:t>. Dostupné na:</w:t>
      </w:r>
      <w:r>
        <w:rPr>
          <w:color w:val="0000FF"/>
          <w:sz w:val="24"/>
          <w:u w:val="single" w:color="0000FF"/>
        </w:rPr>
        <w:t xml:space="preserve"> </w:t>
      </w:r>
      <w:hyperlink r:id="rId29">
        <w:r>
          <w:rPr>
            <w:color w:val="0000FF"/>
            <w:sz w:val="24"/>
            <w:u w:val="single" w:color="0000FF"/>
          </w:rPr>
          <w:t>https://www.cdc.gov/coronavirus/2019-ncov/your-health/quarantine-isolation.html</w:t>
        </w:r>
      </w:hyperlink>
      <w:r>
        <w:rPr>
          <w:sz w:val="24"/>
        </w:rPr>
        <w:t>.</w:t>
      </w:r>
    </w:p>
    <w:p w:rsidR="00170306" w:rsidRDefault="008D7F3E">
      <w:pPr>
        <w:pStyle w:val="ListParagraph"/>
        <w:numPr>
          <w:ilvl w:val="0"/>
          <w:numId w:val="2"/>
        </w:numPr>
        <w:tabs>
          <w:tab w:val="left" w:pos="712"/>
        </w:tabs>
        <w:spacing w:before="1" w:line="360" w:lineRule="auto"/>
        <w:ind w:right="760" w:firstLine="0"/>
        <w:rPr>
          <w:sz w:val="24"/>
        </w:rPr>
      </w:pPr>
      <w:proofErr w:type="spellStart"/>
      <w:r>
        <w:rPr>
          <w:sz w:val="24"/>
        </w:rPr>
        <w:t>European</w:t>
      </w:r>
      <w:proofErr w:type="spellEnd"/>
      <w:r>
        <w:rPr>
          <w:sz w:val="24"/>
        </w:rPr>
        <w:t xml:space="preserve"> Center </w:t>
      </w:r>
      <w:proofErr w:type="spellStart"/>
      <w:r>
        <w:rPr>
          <w:sz w:val="24"/>
        </w:rPr>
        <w:t>for</w:t>
      </w:r>
      <w:proofErr w:type="spellEnd"/>
      <w:r>
        <w:rPr>
          <w:sz w:val="24"/>
        </w:rPr>
        <w:t xml:space="preserve"> </w:t>
      </w:r>
      <w:proofErr w:type="spellStart"/>
      <w:r>
        <w:rPr>
          <w:sz w:val="24"/>
        </w:rPr>
        <w:t>Disease</w:t>
      </w:r>
      <w:proofErr w:type="spellEnd"/>
      <w:r>
        <w:rPr>
          <w:sz w:val="24"/>
        </w:rPr>
        <w:t xml:space="preserve"> </w:t>
      </w:r>
      <w:proofErr w:type="spellStart"/>
      <w:r>
        <w:rPr>
          <w:sz w:val="24"/>
        </w:rPr>
        <w:t>Prevention</w:t>
      </w:r>
      <w:proofErr w:type="spellEnd"/>
      <w:r>
        <w:rPr>
          <w:sz w:val="24"/>
        </w:rPr>
        <w:t xml:space="preserve"> and </w:t>
      </w:r>
      <w:proofErr w:type="spellStart"/>
      <w:r>
        <w:rPr>
          <w:sz w:val="24"/>
        </w:rPr>
        <w:t>Contact</w:t>
      </w:r>
      <w:proofErr w:type="spellEnd"/>
      <w:r>
        <w:rPr>
          <w:sz w:val="24"/>
        </w:rPr>
        <w:t xml:space="preserve">. </w:t>
      </w:r>
      <w:proofErr w:type="spellStart"/>
      <w:r>
        <w:rPr>
          <w:sz w:val="24"/>
        </w:rPr>
        <w:t>Contact</w:t>
      </w:r>
      <w:proofErr w:type="spellEnd"/>
      <w:r>
        <w:rPr>
          <w:sz w:val="24"/>
        </w:rPr>
        <w:t xml:space="preserve"> </w:t>
      </w:r>
      <w:proofErr w:type="spellStart"/>
      <w:r>
        <w:rPr>
          <w:sz w:val="24"/>
        </w:rPr>
        <w:t>tracing</w:t>
      </w:r>
      <w:proofErr w:type="spellEnd"/>
      <w:r>
        <w:rPr>
          <w:sz w:val="24"/>
        </w:rPr>
        <w:t xml:space="preserve"> </w:t>
      </w:r>
      <w:proofErr w:type="spellStart"/>
      <w:r>
        <w:rPr>
          <w:sz w:val="24"/>
        </w:rPr>
        <w:t>for</w:t>
      </w:r>
      <w:proofErr w:type="spellEnd"/>
      <w:r>
        <w:rPr>
          <w:sz w:val="24"/>
        </w:rPr>
        <w:t xml:space="preserve"> COVID-</w:t>
      </w:r>
      <w:r>
        <w:rPr>
          <w:sz w:val="24"/>
        </w:rPr>
        <w:t>19. Dostupné na:</w:t>
      </w:r>
      <w:r>
        <w:rPr>
          <w:color w:val="0000FF"/>
          <w:sz w:val="24"/>
          <w:u w:val="single" w:color="0000FF"/>
        </w:rPr>
        <w:t xml:space="preserve"> </w:t>
      </w:r>
      <w:hyperlink r:id="rId30">
        <w:r>
          <w:rPr>
            <w:color w:val="0000FF"/>
            <w:sz w:val="24"/>
            <w:u w:val="single" w:color="0000FF"/>
          </w:rPr>
          <w:t>https://www.ecdc.europa.eu/en/covid-19/prevention-and-control/contact-tracing-covid-19</w:t>
        </w:r>
      </w:hyperlink>
    </w:p>
    <w:p w:rsidR="00170306" w:rsidRDefault="008D7F3E">
      <w:pPr>
        <w:pStyle w:val="ListParagraph"/>
        <w:numPr>
          <w:ilvl w:val="0"/>
          <w:numId w:val="2"/>
        </w:numPr>
        <w:tabs>
          <w:tab w:val="left" w:pos="773"/>
        </w:tabs>
        <w:spacing w:line="360" w:lineRule="auto"/>
        <w:ind w:right="667" w:firstLine="0"/>
      </w:pPr>
      <w:proofErr w:type="spellStart"/>
      <w:r>
        <w:rPr>
          <w:sz w:val="24"/>
        </w:rPr>
        <w:t>European</w:t>
      </w:r>
      <w:proofErr w:type="spellEnd"/>
      <w:r>
        <w:rPr>
          <w:sz w:val="24"/>
        </w:rPr>
        <w:t xml:space="preserve"> Center </w:t>
      </w:r>
      <w:proofErr w:type="spellStart"/>
      <w:r>
        <w:rPr>
          <w:sz w:val="24"/>
        </w:rPr>
        <w:t>for</w:t>
      </w:r>
      <w:proofErr w:type="spellEnd"/>
      <w:r>
        <w:rPr>
          <w:sz w:val="24"/>
        </w:rPr>
        <w:t xml:space="preserve"> </w:t>
      </w:r>
      <w:proofErr w:type="spellStart"/>
      <w:r>
        <w:rPr>
          <w:sz w:val="24"/>
        </w:rPr>
        <w:t>Disease</w:t>
      </w:r>
      <w:proofErr w:type="spellEnd"/>
      <w:r>
        <w:rPr>
          <w:sz w:val="24"/>
        </w:rPr>
        <w:t xml:space="preserve"> </w:t>
      </w:r>
      <w:proofErr w:type="spellStart"/>
      <w:r>
        <w:rPr>
          <w:sz w:val="24"/>
        </w:rPr>
        <w:t>Prevention</w:t>
      </w:r>
      <w:proofErr w:type="spellEnd"/>
      <w:r>
        <w:rPr>
          <w:sz w:val="24"/>
        </w:rPr>
        <w:t xml:space="preserve"> and </w:t>
      </w:r>
      <w:proofErr w:type="spellStart"/>
      <w:r>
        <w:rPr>
          <w:sz w:val="24"/>
        </w:rPr>
        <w:t>Contact</w:t>
      </w:r>
      <w:proofErr w:type="spellEnd"/>
      <w:r>
        <w:rPr>
          <w:sz w:val="24"/>
        </w:rPr>
        <w:t xml:space="preserve">. Risk </w:t>
      </w:r>
      <w:proofErr w:type="spellStart"/>
      <w:r>
        <w:rPr>
          <w:sz w:val="24"/>
        </w:rPr>
        <w:t>Assessment</w:t>
      </w:r>
      <w:proofErr w:type="spellEnd"/>
      <w:r>
        <w:rPr>
          <w:sz w:val="24"/>
        </w:rPr>
        <w:t xml:space="preserve">: Risk </w:t>
      </w:r>
      <w:proofErr w:type="spellStart"/>
      <w:r>
        <w:rPr>
          <w:sz w:val="24"/>
        </w:rPr>
        <w:t>related</w:t>
      </w:r>
      <w:proofErr w:type="spellEnd"/>
      <w:r>
        <w:rPr>
          <w:sz w:val="24"/>
        </w:rPr>
        <w:t xml:space="preserve"> to </w:t>
      </w:r>
      <w:proofErr w:type="spellStart"/>
      <w:r>
        <w:rPr>
          <w:sz w:val="24"/>
        </w:rPr>
        <w:t>the</w:t>
      </w:r>
      <w:proofErr w:type="spellEnd"/>
      <w:r>
        <w:rPr>
          <w:sz w:val="24"/>
        </w:rPr>
        <w:t xml:space="preserve"> </w:t>
      </w:r>
      <w:proofErr w:type="spellStart"/>
      <w:r>
        <w:rPr>
          <w:sz w:val="24"/>
        </w:rPr>
        <w:t>spread</w:t>
      </w:r>
      <w:proofErr w:type="spellEnd"/>
      <w:r>
        <w:rPr>
          <w:sz w:val="24"/>
        </w:rPr>
        <w:t xml:space="preserve"> of new SARS-CoV-2 </w:t>
      </w:r>
      <w:proofErr w:type="spellStart"/>
      <w:r>
        <w:rPr>
          <w:sz w:val="24"/>
        </w:rPr>
        <w:t>variants</w:t>
      </w:r>
      <w:proofErr w:type="spellEnd"/>
      <w:r>
        <w:rPr>
          <w:sz w:val="24"/>
        </w:rPr>
        <w:t xml:space="preserve"> of </w:t>
      </w:r>
      <w:proofErr w:type="spellStart"/>
      <w:r>
        <w:rPr>
          <w:sz w:val="24"/>
        </w:rPr>
        <w:t>concern</w:t>
      </w:r>
      <w:proofErr w:type="spellEnd"/>
      <w:r>
        <w:rPr>
          <w:sz w:val="24"/>
        </w:rPr>
        <w:t xml:space="preserve"> in </w:t>
      </w:r>
      <w:proofErr w:type="spellStart"/>
      <w:r>
        <w:rPr>
          <w:sz w:val="24"/>
        </w:rPr>
        <w:t>the</w:t>
      </w:r>
      <w:proofErr w:type="spellEnd"/>
      <w:r>
        <w:rPr>
          <w:sz w:val="24"/>
        </w:rPr>
        <w:t xml:space="preserve"> EU/EEA – </w:t>
      </w:r>
      <w:proofErr w:type="spellStart"/>
      <w:r>
        <w:rPr>
          <w:sz w:val="24"/>
        </w:rPr>
        <w:t>first</w:t>
      </w:r>
      <w:proofErr w:type="spellEnd"/>
      <w:r>
        <w:rPr>
          <w:sz w:val="24"/>
        </w:rPr>
        <w:t xml:space="preserve"> update. Dostupné na:</w:t>
      </w:r>
      <w:r>
        <w:rPr>
          <w:color w:val="0000FF"/>
          <w:sz w:val="24"/>
          <w:u w:val="single" w:color="0000FF"/>
        </w:rPr>
        <w:t xml:space="preserve"> </w:t>
      </w:r>
      <w:hyperlink r:id="rId31">
        <w:r>
          <w:rPr>
            <w:color w:val="0000FF"/>
            <w:sz w:val="24"/>
            <w:u w:val="single" w:color="0000FF"/>
          </w:rPr>
          <w:t>https://www.ecdc.europa.eu/sites/default/files/documents/COVID-19-risk-related-to-spread-of-new-</w:t>
        </w:r>
      </w:hyperlink>
      <w:hyperlink r:id="rId32">
        <w:r>
          <w:rPr>
            <w:color w:val="0000FF"/>
            <w:sz w:val="24"/>
            <w:u w:val="single" w:color="0000FF"/>
          </w:rPr>
          <w:t xml:space="preserve"> SARS-CoV-2-variants-EU-EEA-first-update.pdf</w:t>
        </w:r>
      </w:hyperlink>
    </w:p>
    <w:p w:rsidR="00170306" w:rsidRDefault="008D7F3E">
      <w:pPr>
        <w:pStyle w:val="ListParagraph"/>
        <w:numPr>
          <w:ilvl w:val="0"/>
          <w:numId w:val="2"/>
        </w:numPr>
        <w:tabs>
          <w:tab w:val="left" w:pos="832"/>
        </w:tabs>
        <w:spacing w:line="360" w:lineRule="auto"/>
        <w:ind w:right="1216" w:firstLine="0"/>
        <w:rPr>
          <w:sz w:val="24"/>
        </w:rPr>
      </w:pPr>
      <w:proofErr w:type="spellStart"/>
      <w:r>
        <w:rPr>
          <w:sz w:val="24"/>
        </w:rPr>
        <w:t>World</w:t>
      </w:r>
      <w:proofErr w:type="spellEnd"/>
      <w:r>
        <w:rPr>
          <w:sz w:val="24"/>
        </w:rPr>
        <w:t xml:space="preserve"> </w:t>
      </w:r>
      <w:proofErr w:type="spellStart"/>
      <w:r>
        <w:rPr>
          <w:sz w:val="24"/>
        </w:rPr>
        <w:t>Health</w:t>
      </w:r>
      <w:proofErr w:type="spellEnd"/>
      <w:r>
        <w:rPr>
          <w:sz w:val="24"/>
        </w:rPr>
        <w:t xml:space="preserve"> </w:t>
      </w:r>
      <w:proofErr w:type="spellStart"/>
      <w:r>
        <w:rPr>
          <w:sz w:val="24"/>
        </w:rPr>
        <w:t>Organization</w:t>
      </w:r>
      <w:proofErr w:type="spellEnd"/>
      <w:r>
        <w:rPr>
          <w:sz w:val="24"/>
        </w:rPr>
        <w:t xml:space="preserve">. </w:t>
      </w:r>
      <w:proofErr w:type="spellStart"/>
      <w:r>
        <w:rPr>
          <w:sz w:val="24"/>
        </w:rPr>
        <w:t>Contact</w:t>
      </w:r>
      <w:proofErr w:type="spellEnd"/>
      <w:r>
        <w:rPr>
          <w:sz w:val="24"/>
        </w:rPr>
        <w:t xml:space="preserve"> </w:t>
      </w:r>
      <w:proofErr w:type="spellStart"/>
      <w:r>
        <w:rPr>
          <w:sz w:val="24"/>
        </w:rPr>
        <w:t>tracing</w:t>
      </w:r>
      <w:proofErr w:type="spellEnd"/>
      <w:r>
        <w:rPr>
          <w:sz w:val="24"/>
        </w:rPr>
        <w:t xml:space="preserve"> in </w:t>
      </w:r>
      <w:proofErr w:type="spellStart"/>
      <w:r>
        <w:rPr>
          <w:sz w:val="24"/>
        </w:rPr>
        <w:t>the</w:t>
      </w:r>
      <w:proofErr w:type="spellEnd"/>
      <w:r>
        <w:rPr>
          <w:sz w:val="24"/>
        </w:rPr>
        <w:t xml:space="preserve"> </w:t>
      </w:r>
      <w:proofErr w:type="spellStart"/>
      <w:r>
        <w:rPr>
          <w:sz w:val="24"/>
        </w:rPr>
        <w:t>context</w:t>
      </w:r>
      <w:proofErr w:type="spellEnd"/>
      <w:r>
        <w:rPr>
          <w:sz w:val="24"/>
        </w:rPr>
        <w:t xml:space="preserve"> of COVID-19: </w:t>
      </w:r>
      <w:proofErr w:type="spellStart"/>
      <w:r>
        <w:rPr>
          <w:sz w:val="24"/>
        </w:rPr>
        <w:t>Interim</w:t>
      </w:r>
      <w:proofErr w:type="spellEnd"/>
      <w:r>
        <w:rPr>
          <w:sz w:val="24"/>
        </w:rPr>
        <w:t xml:space="preserve"> </w:t>
      </w:r>
      <w:proofErr w:type="spellStart"/>
      <w:r>
        <w:rPr>
          <w:sz w:val="24"/>
        </w:rPr>
        <w:t>Guidance</w:t>
      </w:r>
      <w:proofErr w:type="spellEnd"/>
      <w:r>
        <w:rPr>
          <w:sz w:val="24"/>
        </w:rPr>
        <w:t>. Dostupné na:</w:t>
      </w:r>
      <w:r>
        <w:rPr>
          <w:color w:val="0000FF"/>
          <w:sz w:val="24"/>
        </w:rPr>
        <w:t xml:space="preserve"> </w:t>
      </w:r>
      <w:hyperlink r:id="rId33">
        <w:r>
          <w:rPr>
            <w:color w:val="0000FF"/>
            <w:sz w:val="24"/>
            <w:u w:val="single" w:color="0000FF"/>
          </w:rPr>
          <w:t>https://www.who.int/publications/i/item/contact-tracing-in-the-context-of-covid-19</w:t>
        </w:r>
      </w:hyperlink>
    </w:p>
    <w:p w:rsidR="00170306" w:rsidRDefault="008D7F3E">
      <w:pPr>
        <w:pStyle w:val="ListParagraph"/>
        <w:numPr>
          <w:ilvl w:val="0"/>
          <w:numId w:val="2"/>
        </w:numPr>
        <w:tabs>
          <w:tab w:val="left" w:pos="895"/>
        </w:tabs>
        <w:spacing w:line="360" w:lineRule="auto"/>
        <w:ind w:right="546" w:firstLine="0"/>
        <w:jc w:val="both"/>
        <w:rPr>
          <w:sz w:val="24"/>
        </w:rPr>
      </w:pPr>
      <w:r>
        <w:rPr>
          <w:sz w:val="24"/>
        </w:rPr>
        <w:t xml:space="preserve">Centre </w:t>
      </w:r>
      <w:proofErr w:type="spellStart"/>
      <w:r>
        <w:rPr>
          <w:sz w:val="24"/>
        </w:rPr>
        <w:t>for</w:t>
      </w:r>
      <w:proofErr w:type="spellEnd"/>
      <w:r>
        <w:rPr>
          <w:sz w:val="24"/>
        </w:rPr>
        <w:t xml:space="preserve"> </w:t>
      </w:r>
      <w:proofErr w:type="spellStart"/>
      <w:r>
        <w:rPr>
          <w:sz w:val="24"/>
        </w:rPr>
        <w:t>Disease</w:t>
      </w:r>
      <w:proofErr w:type="spellEnd"/>
      <w:r>
        <w:rPr>
          <w:sz w:val="24"/>
        </w:rPr>
        <w:t xml:space="preserve"> </w:t>
      </w:r>
      <w:proofErr w:type="spellStart"/>
      <w:r>
        <w:rPr>
          <w:sz w:val="24"/>
        </w:rPr>
        <w:t>Prevention</w:t>
      </w:r>
      <w:proofErr w:type="spellEnd"/>
      <w:r>
        <w:rPr>
          <w:sz w:val="24"/>
        </w:rPr>
        <w:t xml:space="preserve"> and </w:t>
      </w:r>
      <w:proofErr w:type="spellStart"/>
      <w:r>
        <w:rPr>
          <w:sz w:val="24"/>
        </w:rPr>
        <w:t>Control</w:t>
      </w:r>
      <w:proofErr w:type="spellEnd"/>
      <w:r>
        <w:rPr>
          <w:sz w:val="24"/>
        </w:rPr>
        <w:t xml:space="preserve">. </w:t>
      </w:r>
      <w:proofErr w:type="spellStart"/>
      <w:r>
        <w:rPr>
          <w:sz w:val="24"/>
        </w:rPr>
        <w:t>Science</w:t>
      </w:r>
      <w:proofErr w:type="spellEnd"/>
      <w:r>
        <w:rPr>
          <w:sz w:val="24"/>
        </w:rPr>
        <w:t xml:space="preserve"> </w:t>
      </w:r>
      <w:proofErr w:type="spellStart"/>
      <w:r>
        <w:rPr>
          <w:sz w:val="24"/>
        </w:rPr>
        <w:t>Brief</w:t>
      </w:r>
      <w:proofErr w:type="spellEnd"/>
      <w:r>
        <w:rPr>
          <w:sz w:val="24"/>
        </w:rPr>
        <w:t xml:space="preserve">: </w:t>
      </w:r>
      <w:proofErr w:type="spellStart"/>
      <w:r>
        <w:rPr>
          <w:sz w:val="24"/>
        </w:rPr>
        <w:t>Options</w:t>
      </w:r>
      <w:proofErr w:type="spellEnd"/>
      <w:r>
        <w:rPr>
          <w:sz w:val="24"/>
        </w:rPr>
        <w:t xml:space="preserve"> to </w:t>
      </w:r>
      <w:proofErr w:type="spellStart"/>
      <w:r>
        <w:rPr>
          <w:sz w:val="24"/>
        </w:rPr>
        <w:t>Reduce</w:t>
      </w:r>
      <w:proofErr w:type="spellEnd"/>
      <w:r>
        <w:rPr>
          <w:sz w:val="24"/>
        </w:rPr>
        <w:t xml:space="preserve"> </w:t>
      </w:r>
      <w:proofErr w:type="spellStart"/>
      <w:r>
        <w:rPr>
          <w:sz w:val="24"/>
        </w:rPr>
        <w:t>Quarantine</w:t>
      </w:r>
      <w:proofErr w:type="spellEnd"/>
      <w:r>
        <w:rPr>
          <w:sz w:val="24"/>
        </w:rPr>
        <w:t xml:space="preserve"> </w:t>
      </w:r>
      <w:proofErr w:type="spellStart"/>
      <w:r>
        <w:rPr>
          <w:sz w:val="24"/>
        </w:rPr>
        <w:t>for</w:t>
      </w:r>
      <w:proofErr w:type="spellEnd"/>
      <w:r>
        <w:rPr>
          <w:sz w:val="24"/>
        </w:rPr>
        <w:t xml:space="preserve"> </w:t>
      </w:r>
      <w:proofErr w:type="spellStart"/>
      <w:r>
        <w:rPr>
          <w:sz w:val="24"/>
        </w:rPr>
        <w:t>Contacts</w:t>
      </w:r>
      <w:proofErr w:type="spellEnd"/>
      <w:r>
        <w:rPr>
          <w:sz w:val="24"/>
        </w:rPr>
        <w:t xml:space="preserve"> o</w:t>
      </w:r>
      <w:r>
        <w:rPr>
          <w:sz w:val="24"/>
        </w:rPr>
        <w:t xml:space="preserve">f </w:t>
      </w:r>
      <w:proofErr w:type="spellStart"/>
      <w:r>
        <w:rPr>
          <w:sz w:val="24"/>
        </w:rPr>
        <w:t>Persons</w:t>
      </w:r>
      <w:proofErr w:type="spellEnd"/>
      <w:r>
        <w:rPr>
          <w:sz w:val="24"/>
        </w:rPr>
        <w:t xml:space="preserve"> </w:t>
      </w:r>
      <w:proofErr w:type="spellStart"/>
      <w:r>
        <w:rPr>
          <w:sz w:val="24"/>
        </w:rPr>
        <w:t>with</w:t>
      </w:r>
      <w:proofErr w:type="spellEnd"/>
      <w:r>
        <w:rPr>
          <w:sz w:val="24"/>
        </w:rPr>
        <w:t xml:space="preserve"> SARS-CoV-2 </w:t>
      </w:r>
      <w:proofErr w:type="spellStart"/>
      <w:r>
        <w:rPr>
          <w:sz w:val="24"/>
        </w:rPr>
        <w:t>Infection</w:t>
      </w:r>
      <w:proofErr w:type="spellEnd"/>
      <w:r>
        <w:rPr>
          <w:sz w:val="24"/>
        </w:rPr>
        <w:t xml:space="preserve"> </w:t>
      </w:r>
      <w:proofErr w:type="spellStart"/>
      <w:r>
        <w:rPr>
          <w:sz w:val="24"/>
        </w:rPr>
        <w:t>Using</w:t>
      </w:r>
      <w:proofErr w:type="spellEnd"/>
      <w:r>
        <w:rPr>
          <w:sz w:val="24"/>
        </w:rPr>
        <w:t xml:space="preserve"> </w:t>
      </w:r>
      <w:proofErr w:type="spellStart"/>
      <w:r>
        <w:rPr>
          <w:sz w:val="24"/>
        </w:rPr>
        <w:t>Symptom</w:t>
      </w:r>
      <w:proofErr w:type="spellEnd"/>
      <w:r>
        <w:rPr>
          <w:sz w:val="24"/>
        </w:rPr>
        <w:t xml:space="preserve"> Monitoring and </w:t>
      </w:r>
      <w:proofErr w:type="spellStart"/>
      <w:r>
        <w:rPr>
          <w:sz w:val="24"/>
        </w:rPr>
        <w:t>Diagnostic</w:t>
      </w:r>
      <w:proofErr w:type="spellEnd"/>
      <w:r>
        <w:rPr>
          <w:sz w:val="24"/>
        </w:rPr>
        <w:t xml:space="preserve"> </w:t>
      </w:r>
      <w:proofErr w:type="spellStart"/>
      <w:r>
        <w:rPr>
          <w:sz w:val="24"/>
        </w:rPr>
        <w:t>Testing</w:t>
      </w:r>
      <w:proofErr w:type="spellEnd"/>
      <w:r>
        <w:rPr>
          <w:sz w:val="24"/>
        </w:rPr>
        <w:t>. Dostupné na:</w:t>
      </w:r>
      <w:r>
        <w:rPr>
          <w:color w:val="0000FF"/>
          <w:sz w:val="24"/>
        </w:rPr>
        <w:t xml:space="preserve"> </w:t>
      </w:r>
      <w:hyperlink r:id="rId34">
        <w:r>
          <w:rPr>
            <w:color w:val="0000FF"/>
            <w:sz w:val="24"/>
            <w:u w:val="single" w:color="0000FF"/>
          </w:rPr>
          <w:t>https://www.cdc.gov/cor</w:t>
        </w:r>
        <w:r>
          <w:rPr>
            <w:color w:val="0000FF"/>
            <w:sz w:val="24"/>
            <w:u w:val="single" w:color="0000FF"/>
          </w:rPr>
          <w:t>onavirus/2019-ncov/science/science-briefs/scientific-brief-</w:t>
        </w:r>
      </w:hyperlink>
      <w:hyperlink r:id="rId35">
        <w:r>
          <w:rPr>
            <w:color w:val="0000FF"/>
            <w:sz w:val="24"/>
            <w:u w:val="single" w:color="0000FF"/>
          </w:rPr>
          <w:t xml:space="preserve"> options-to-reduce-quarantine.html</w:t>
        </w:r>
      </w:hyperlink>
    </w:p>
    <w:p w:rsidR="00170306" w:rsidRDefault="008D7F3E">
      <w:pPr>
        <w:pStyle w:val="ListParagraph"/>
        <w:numPr>
          <w:ilvl w:val="0"/>
          <w:numId w:val="2"/>
        </w:numPr>
        <w:tabs>
          <w:tab w:val="left" w:pos="994"/>
        </w:tabs>
        <w:spacing w:line="360" w:lineRule="auto"/>
        <w:ind w:right="554" w:firstLine="0"/>
        <w:jc w:val="both"/>
        <w:rPr>
          <w:sz w:val="24"/>
        </w:rPr>
      </w:pPr>
      <w:r>
        <w:rPr>
          <w:sz w:val="24"/>
        </w:rPr>
        <w:t xml:space="preserve">Inštitút verejného zdravia </w:t>
      </w:r>
      <w:r>
        <w:rPr>
          <w:sz w:val="24"/>
        </w:rPr>
        <w:t xml:space="preserve">Srbska Dr. Milana </w:t>
      </w:r>
      <w:proofErr w:type="spellStart"/>
      <w:r>
        <w:rPr>
          <w:sz w:val="24"/>
        </w:rPr>
        <w:t>Jovanovića</w:t>
      </w:r>
      <w:proofErr w:type="spellEnd"/>
      <w:r>
        <w:rPr>
          <w:sz w:val="24"/>
        </w:rPr>
        <w:t xml:space="preserve"> </w:t>
      </w:r>
      <w:proofErr w:type="spellStart"/>
      <w:r>
        <w:rPr>
          <w:sz w:val="24"/>
        </w:rPr>
        <w:t>Batutu</w:t>
      </w:r>
      <w:proofErr w:type="spellEnd"/>
      <w:r>
        <w:rPr>
          <w:sz w:val="24"/>
        </w:rPr>
        <w:br/>
        <w:t>Dostupné na:</w:t>
      </w:r>
      <w:r>
        <w:rPr>
          <w:color w:val="0000FF"/>
          <w:sz w:val="24"/>
          <w:u w:val="single" w:color="0000FF"/>
        </w:rPr>
        <w:t xml:space="preserve"> </w:t>
      </w:r>
      <w:hyperlink r:id="rId36">
        <w:r>
          <w:rPr>
            <w:color w:val="0000FF"/>
            <w:sz w:val="24"/>
            <w:u w:val="single" w:color="0000FF"/>
          </w:rPr>
          <w:t>https://www.batut.org.rs/download/aktuelno/310721.pdf</w:t>
        </w:r>
      </w:hyperlink>
    </w:p>
    <w:p w:rsidR="00170306" w:rsidRDefault="008D7F3E">
      <w:pPr>
        <w:pStyle w:val="ListParagraph"/>
        <w:numPr>
          <w:ilvl w:val="0"/>
          <w:numId w:val="2"/>
        </w:numPr>
        <w:tabs>
          <w:tab w:val="left" w:pos="1183"/>
        </w:tabs>
        <w:spacing w:line="360" w:lineRule="auto"/>
        <w:ind w:right="546" w:firstLine="0"/>
        <w:jc w:val="both"/>
        <w:rPr>
          <w:sz w:val="24"/>
        </w:rPr>
      </w:pPr>
      <w:r>
        <w:rPr>
          <w:sz w:val="24"/>
        </w:rPr>
        <w:t xml:space="preserve">Centre </w:t>
      </w:r>
      <w:proofErr w:type="spellStart"/>
      <w:r>
        <w:rPr>
          <w:sz w:val="24"/>
        </w:rPr>
        <w:t>for</w:t>
      </w:r>
      <w:proofErr w:type="spellEnd"/>
      <w:r>
        <w:rPr>
          <w:sz w:val="24"/>
        </w:rPr>
        <w:t xml:space="preserve"> </w:t>
      </w:r>
      <w:proofErr w:type="spellStart"/>
      <w:r>
        <w:rPr>
          <w:sz w:val="24"/>
        </w:rPr>
        <w:t>Disease</w:t>
      </w:r>
      <w:proofErr w:type="spellEnd"/>
      <w:r>
        <w:rPr>
          <w:sz w:val="24"/>
        </w:rPr>
        <w:t xml:space="preserve"> </w:t>
      </w:r>
      <w:proofErr w:type="spellStart"/>
      <w:r>
        <w:rPr>
          <w:sz w:val="24"/>
        </w:rPr>
        <w:t>Prevention</w:t>
      </w:r>
      <w:proofErr w:type="spellEnd"/>
      <w:r>
        <w:rPr>
          <w:sz w:val="24"/>
        </w:rPr>
        <w:t xml:space="preserve"> and </w:t>
      </w:r>
      <w:proofErr w:type="spellStart"/>
      <w:r>
        <w:rPr>
          <w:sz w:val="24"/>
        </w:rPr>
        <w:t>Control</w:t>
      </w:r>
      <w:proofErr w:type="spellEnd"/>
      <w:r>
        <w:rPr>
          <w:sz w:val="24"/>
        </w:rPr>
        <w:t xml:space="preserve">. </w:t>
      </w:r>
      <w:proofErr w:type="spellStart"/>
      <w:r>
        <w:rPr>
          <w:sz w:val="24"/>
        </w:rPr>
        <w:t>Infection</w:t>
      </w:r>
      <w:proofErr w:type="spellEnd"/>
      <w:r>
        <w:rPr>
          <w:sz w:val="24"/>
        </w:rPr>
        <w:t>. Dostupné na:</w:t>
      </w:r>
      <w:r>
        <w:rPr>
          <w:sz w:val="24"/>
          <w:u w:val="single"/>
        </w:rPr>
        <w:t xml:space="preserve"> https:/</w:t>
      </w:r>
      <w:hyperlink r:id="rId37">
        <w:r>
          <w:rPr>
            <w:sz w:val="24"/>
            <w:u w:val="single"/>
          </w:rPr>
          <w:t>/www.e</w:t>
        </w:r>
      </w:hyperlink>
      <w:r>
        <w:rPr>
          <w:sz w:val="24"/>
          <w:u w:val="single"/>
        </w:rPr>
        <w:t>c</w:t>
      </w:r>
      <w:hyperlink r:id="rId38">
        <w:r>
          <w:rPr>
            <w:sz w:val="24"/>
            <w:u w:val="single"/>
          </w:rPr>
          <w:t>dc.europa.eu/en/covid-19/latest-evidence/infection</w:t>
        </w:r>
      </w:hyperlink>
    </w:p>
    <w:p w:rsidR="00170306" w:rsidRDefault="008D7F3E">
      <w:pPr>
        <w:pStyle w:val="ListParagraph"/>
        <w:numPr>
          <w:ilvl w:val="0"/>
          <w:numId w:val="2"/>
        </w:numPr>
        <w:tabs>
          <w:tab w:val="left" w:pos="832"/>
        </w:tabs>
        <w:spacing w:before="1"/>
        <w:ind w:left="832" w:hanging="360"/>
        <w:jc w:val="both"/>
        <w:rPr>
          <w:sz w:val="24"/>
        </w:rPr>
      </w:pPr>
      <w:r>
        <w:rPr>
          <w:sz w:val="24"/>
        </w:rPr>
        <w:t xml:space="preserve">GISAID. </w:t>
      </w:r>
      <w:proofErr w:type="spellStart"/>
      <w:r>
        <w:rPr>
          <w:sz w:val="24"/>
        </w:rPr>
        <w:t>Tracking</w:t>
      </w:r>
      <w:proofErr w:type="spellEnd"/>
      <w:r>
        <w:rPr>
          <w:sz w:val="24"/>
        </w:rPr>
        <w:t xml:space="preserve"> of </w:t>
      </w:r>
      <w:proofErr w:type="spellStart"/>
      <w:r>
        <w:rPr>
          <w:sz w:val="24"/>
        </w:rPr>
        <w:t>Variants</w:t>
      </w:r>
      <w:proofErr w:type="spellEnd"/>
      <w:r>
        <w:rPr>
          <w:sz w:val="24"/>
        </w:rPr>
        <w:t>. Dostupné</w:t>
      </w:r>
      <w:r>
        <w:rPr>
          <w:sz w:val="24"/>
        </w:rPr>
        <w:t xml:space="preserve"> na:</w:t>
      </w:r>
      <w:r>
        <w:rPr>
          <w:color w:val="0000FF"/>
          <w:sz w:val="24"/>
        </w:rPr>
        <w:t xml:space="preserve"> </w:t>
      </w:r>
      <w:hyperlink r:id="rId39">
        <w:r>
          <w:rPr>
            <w:color w:val="0000FF"/>
            <w:sz w:val="24"/>
            <w:u w:val="single" w:color="0000FF"/>
          </w:rPr>
          <w:t>https://www.gisaid.org/hcov19-variants/</w:t>
        </w:r>
      </w:hyperlink>
      <w:r>
        <w:rPr>
          <w:sz w:val="24"/>
        </w:rPr>
        <w:t>.</w:t>
      </w:r>
    </w:p>
    <w:p w:rsidR="00170306" w:rsidRDefault="008D7F3E">
      <w:pPr>
        <w:pStyle w:val="ListParagraph"/>
        <w:numPr>
          <w:ilvl w:val="0"/>
          <w:numId w:val="2"/>
        </w:numPr>
        <w:tabs>
          <w:tab w:val="left" w:pos="852"/>
        </w:tabs>
        <w:spacing w:before="137" w:line="360" w:lineRule="auto"/>
        <w:ind w:right="547" w:firstLine="0"/>
        <w:jc w:val="both"/>
        <w:rPr>
          <w:sz w:val="24"/>
        </w:rPr>
      </w:pPr>
      <w:r>
        <w:rPr>
          <w:sz w:val="24"/>
        </w:rPr>
        <w:t xml:space="preserve">UK </w:t>
      </w:r>
      <w:proofErr w:type="spellStart"/>
      <w:r>
        <w:rPr>
          <w:sz w:val="24"/>
        </w:rPr>
        <w:t>Health</w:t>
      </w:r>
      <w:proofErr w:type="spellEnd"/>
      <w:r>
        <w:rPr>
          <w:sz w:val="24"/>
        </w:rPr>
        <w:t xml:space="preserve"> </w:t>
      </w:r>
      <w:proofErr w:type="spellStart"/>
      <w:r>
        <w:rPr>
          <w:sz w:val="24"/>
        </w:rPr>
        <w:t>Security</w:t>
      </w:r>
      <w:proofErr w:type="spellEnd"/>
      <w:r>
        <w:rPr>
          <w:sz w:val="24"/>
        </w:rPr>
        <w:t xml:space="preserve"> </w:t>
      </w:r>
      <w:proofErr w:type="spellStart"/>
      <w:r>
        <w:rPr>
          <w:sz w:val="24"/>
        </w:rPr>
        <w:t>Agency</w:t>
      </w:r>
      <w:proofErr w:type="spellEnd"/>
      <w:r>
        <w:rPr>
          <w:sz w:val="24"/>
        </w:rPr>
        <w:t xml:space="preserve">. SARS-CoV-2 </w:t>
      </w:r>
      <w:proofErr w:type="spellStart"/>
      <w:r>
        <w:rPr>
          <w:sz w:val="24"/>
        </w:rPr>
        <w:t>variants</w:t>
      </w:r>
      <w:proofErr w:type="spellEnd"/>
      <w:r>
        <w:rPr>
          <w:sz w:val="24"/>
        </w:rPr>
        <w:t xml:space="preserve"> of </w:t>
      </w:r>
      <w:proofErr w:type="spellStart"/>
      <w:r>
        <w:rPr>
          <w:sz w:val="24"/>
        </w:rPr>
        <w:t>concern</w:t>
      </w:r>
      <w:proofErr w:type="spellEnd"/>
      <w:r>
        <w:rPr>
          <w:sz w:val="24"/>
        </w:rPr>
        <w:t xml:space="preserve"> and </w:t>
      </w:r>
      <w:proofErr w:type="spellStart"/>
      <w:r>
        <w:rPr>
          <w:sz w:val="24"/>
        </w:rPr>
        <w:t>variants</w:t>
      </w:r>
      <w:proofErr w:type="spellEnd"/>
      <w:r>
        <w:rPr>
          <w:sz w:val="24"/>
        </w:rPr>
        <w:t xml:space="preserve"> </w:t>
      </w:r>
      <w:proofErr w:type="spellStart"/>
      <w:r>
        <w:rPr>
          <w:sz w:val="24"/>
        </w:rPr>
        <w:t>under</w:t>
      </w:r>
      <w:proofErr w:type="spellEnd"/>
      <w:r>
        <w:rPr>
          <w:sz w:val="24"/>
        </w:rPr>
        <w:t xml:space="preserve"> </w:t>
      </w:r>
      <w:proofErr w:type="spellStart"/>
      <w:r>
        <w:rPr>
          <w:sz w:val="24"/>
        </w:rPr>
        <w:t>investigation</w:t>
      </w:r>
      <w:proofErr w:type="spellEnd"/>
      <w:r>
        <w:rPr>
          <w:sz w:val="24"/>
        </w:rPr>
        <w:t xml:space="preserve"> in </w:t>
      </w:r>
      <w:proofErr w:type="spellStart"/>
      <w:r>
        <w:rPr>
          <w:sz w:val="24"/>
        </w:rPr>
        <w:t>England</w:t>
      </w:r>
      <w:proofErr w:type="spellEnd"/>
      <w:r>
        <w:rPr>
          <w:sz w:val="24"/>
        </w:rPr>
        <w:t>. Dostupné na:</w:t>
      </w:r>
      <w:r>
        <w:rPr>
          <w:color w:val="0000FF"/>
          <w:sz w:val="24"/>
        </w:rPr>
        <w:t xml:space="preserve"> </w:t>
      </w:r>
      <w:hyperlink r:id="rId40">
        <w:r>
          <w:rPr>
            <w:color w:val="0000FF"/>
            <w:sz w:val="24"/>
            <w:u w:val="single" w:color="0000FF"/>
          </w:rPr>
          <w:t xml:space="preserve">SARS-CoV-2 </w:t>
        </w:r>
        <w:proofErr w:type="spellStart"/>
        <w:r>
          <w:rPr>
            <w:color w:val="0000FF"/>
            <w:sz w:val="24"/>
            <w:u w:val="single" w:color="0000FF"/>
          </w:rPr>
          <w:t>variants</w:t>
        </w:r>
        <w:proofErr w:type="spellEnd"/>
        <w:r>
          <w:rPr>
            <w:color w:val="0000FF"/>
            <w:sz w:val="24"/>
            <w:u w:val="single" w:color="0000FF"/>
          </w:rPr>
          <w:t xml:space="preserve"> of </w:t>
        </w:r>
        <w:proofErr w:type="spellStart"/>
        <w:r>
          <w:rPr>
            <w:color w:val="0000FF"/>
            <w:sz w:val="24"/>
            <w:u w:val="single" w:color="0000FF"/>
          </w:rPr>
          <w:t>concern</w:t>
        </w:r>
        <w:proofErr w:type="spellEnd"/>
        <w:r>
          <w:rPr>
            <w:color w:val="0000FF"/>
            <w:sz w:val="24"/>
            <w:u w:val="single" w:color="0000FF"/>
          </w:rPr>
          <w:t xml:space="preserve"> and </w:t>
        </w:r>
        <w:proofErr w:type="spellStart"/>
        <w:r>
          <w:rPr>
            <w:color w:val="0000FF"/>
            <w:sz w:val="24"/>
            <w:u w:val="single" w:color="0000FF"/>
          </w:rPr>
          <w:t>variants</w:t>
        </w:r>
        <w:proofErr w:type="spellEnd"/>
        <w:r>
          <w:rPr>
            <w:color w:val="0000FF"/>
            <w:sz w:val="24"/>
            <w:u w:val="single" w:color="0000FF"/>
          </w:rPr>
          <w:t xml:space="preserve"> </w:t>
        </w:r>
        <w:proofErr w:type="spellStart"/>
        <w:r>
          <w:rPr>
            <w:color w:val="0000FF"/>
            <w:sz w:val="24"/>
            <w:u w:val="single" w:color="0000FF"/>
          </w:rPr>
          <w:t>under</w:t>
        </w:r>
        <w:proofErr w:type="spellEnd"/>
        <w:r>
          <w:rPr>
            <w:color w:val="0000FF"/>
            <w:sz w:val="24"/>
            <w:u w:val="single" w:color="0000FF"/>
          </w:rPr>
          <w:t xml:space="preserve"> </w:t>
        </w:r>
        <w:proofErr w:type="spellStart"/>
        <w:r>
          <w:rPr>
            <w:color w:val="0000FF"/>
            <w:sz w:val="24"/>
            <w:u w:val="single" w:color="0000FF"/>
          </w:rPr>
          <w:t>investigation</w:t>
        </w:r>
        <w:proofErr w:type="spellEnd"/>
      </w:hyperlink>
      <w:hyperlink r:id="rId41">
        <w:r>
          <w:rPr>
            <w:color w:val="0000FF"/>
            <w:sz w:val="24"/>
            <w:u w:val="single" w:color="0000FF"/>
          </w:rPr>
          <w:t xml:space="preserve"> (publishing.service.gov.uk)</w:t>
        </w:r>
      </w:hyperlink>
    </w:p>
    <w:p w:rsidR="00170306" w:rsidRDefault="008D7F3E">
      <w:pPr>
        <w:pStyle w:val="ListParagraph"/>
        <w:numPr>
          <w:ilvl w:val="0"/>
          <w:numId w:val="2"/>
        </w:numPr>
        <w:tabs>
          <w:tab w:val="left" w:pos="856"/>
        </w:tabs>
        <w:spacing w:before="1" w:line="360" w:lineRule="auto"/>
        <w:ind w:right="546" w:firstLine="0"/>
        <w:jc w:val="both"/>
        <w:rPr>
          <w:sz w:val="24"/>
        </w:rPr>
      </w:pPr>
      <w:proofErr w:type="spellStart"/>
      <w:r>
        <w:rPr>
          <w:sz w:val="24"/>
        </w:rPr>
        <w:t>European</w:t>
      </w:r>
      <w:proofErr w:type="spellEnd"/>
      <w:r>
        <w:rPr>
          <w:sz w:val="24"/>
        </w:rPr>
        <w:t xml:space="preserve"> Center </w:t>
      </w:r>
      <w:proofErr w:type="spellStart"/>
      <w:r>
        <w:rPr>
          <w:sz w:val="24"/>
        </w:rPr>
        <w:t>for</w:t>
      </w:r>
      <w:proofErr w:type="spellEnd"/>
      <w:r>
        <w:rPr>
          <w:sz w:val="24"/>
        </w:rPr>
        <w:t xml:space="preserve"> </w:t>
      </w:r>
      <w:proofErr w:type="spellStart"/>
      <w:r>
        <w:rPr>
          <w:sz w:val="24"/>
        </w:rPr>
        <w:t>Disease</w:t>
      </w:r>
      <w:proofErr w:type="spellEnd"/>
      <w:r>
        <w:rPr>
          <w:sz w:val="24"/>
        </w:rPr>
        <w:t xml:space="preserve"> </w:t>
      </w:r>
      <w:proofErr w:type="spellStart"/>
      <w:r>
        <w:rPr>
          <w:sz w:val="24"/>
        </w:rPr>
        <w:t>Prevention</w:t>
      </w:r>
      <w:proofErr w:type="spellEnd"/>
      <w:r>
        <w:rPr>
          <w:sz w:val="24"/>
        </w:rPr>
        <w:t xml:space="preserve"> and </w:t>
      </w:r>
      <w:proofErr w:type="spellStart"/>
      <w:r>
        <w:rPr>
          <w:sz w:val="24"/>
        </w:rPr>
        <w:t>Contact</w:t>
      </w:r>
      <w:proofErr w:type="spellEnd"/>
      <w:r>
        <w:rPr>
          <w:sz w:val="24"/>
        </w:rPr>
        <w:t xml:space="preserve">. </w:t>
      </w:r>
      <w:proofErr w:type="spellStart"/>
      <w:r>
        <w:rPr>
          <w:sz w:val="24"/>
        </w:rPr>
        <w:t>Guidance</w:t>
      </w:r>
      <w:proofErr w:type="spellEnd"/>
      <w:r>
        <w:rPr>
          <w:sz w:val="24"/>
        </w:rPr>
        <w:t xml:space="preserve"> on </w:t>
      </w:r>
      <w:proofErr w:type="spellStart"/>
      <w:r>
        <w:rPr>
          <w:sz w:val="24"/>
        </w:rPr>
        <w:t>quarantine</w:t>
      </w:r>
      <w:proofErr w:type="spellEnd"/>
      <w:r>
        <w:rPr>
          <w:sz w:val="24"/>
        </w:rPr>
        <w:t xml:space="preserve"> of </w:t>
      </w:r>
      <w:proofErr w:type="spellStart"/>
      <w:r>
        <w:rPr>
          <w:sz w:val="24"/>
        </w:rPr>
        <w:t>close</w:t>
      </w:r>
      <w:proofErr w:type="spellEnd"/>
      <w:r>
        <w:rPr>
          <w:sz w:val="24"/>
        </w:rPr>
        <w:t xml:space="preserve"> </w:t>
      </w:r>
      <w:proofErr w:type="spellStart"/>
      <w:r>
        <w:rPr>
          <w:sz w:val="24"/>
        </w:rPr>
        <w:t>contac</w:t>
      </w:r>
      <w:r>
        <w:rPr>
          <w:sz w:val="24"/>
        </w:rPr>
        <w:t>ts</w:t>
      </w:r>
      <w:proofErr w:type="spellEnd"/>
      <w:r>
        <w:rPr>
          <w:sz w:val="24"/>
        </w:rPr>
        <w:t xml:space="preserve"> to COVID-19 </w:t>
      </w:r>
      <w:proofErr w:type="spellStart"/>
      <w:r>
        <w:rPr>
          <w:sz w:val="24"/>
        </w:rPr>
        <w:t>cases</w:t>
      </w:r>
      <w:proofErr w:type="spellEnd"/>
      <w:r>
        <w:rPr>
          <w:sz w:val="24"/>
        </w:rPr>
        <w:t xml:space="preserve"> and </w:t>
      </w:r>
      <w:proofErr w:type="spellStart"/>
      <w:r>
        <w:rPr>
          <w:sz w:val="24"/>
        </w:rPr>
        <w:t>isolation</w:t>
      </w:r>
      <w:proofErr w:type="spellEnd"/>
      <w:r>
        <w:rPr>
          <w:sz w:val="24"/>
        </w:rPr>
        <w:t xml:space="preserve"> of COVID-19 </w:t>
      </w:r>
      <w:proofErr w:type="spellStart"/>
      <w:r>
        <w:rPr>
          <w:sz w:val="24"/>
        </w:rPr>
        <w:t>cases</w:t>
      </w:r>
      <w:proofErr w:type="spellEnd"/>
      <w:r>
        <w:rPr>
          <w:sz w:val="24"/>
        </w:rPr>
        <w:t xml:space="preserve">, in </w:t>
      </w:r>
      <w:proofErr w:type="spellStart"/>
      <w:r>
        <w:rPr>
          <w:sz w:val="24"/>
        </w:rPr>
        <w:t>the</w:t>
      </w:r>
      <w:proofErr w:type="spellEnd"/>
      <w:r>
        <w:rPr>
          <w:sz w:val="24"/>
        </w:rPr>
        <w:t xml:space="preserve"> </w:t>
      </w:r>
      <w:proofErr w:type="spellStart"/>
      <w:r>
        <w:rPr>
          <w:sz w:val="24"/>
        </w:rPr>
        <w:t>current</w:t>
      </w:r>
      <w:proofErr w:type="spellEnd"/>
      <w:r>
        <w:rPr>
          <w:sz w:val="24"/>
        </w:rPr>
        <w:t xml:space="preserve"> </w:t>
      </w:r>
      <w:proofErr w:type="spellStart"/>
      <w:r>
        <w:rPr>
          <w:sz w:val="24"/>
        </w:rPr>
        <w:t>epidemiological</w:t>
      </w:r>
      <w:proofErr w:type="spellEnd"/>
      <w:r>
        <w:rPr>
          <w:sz w:val="24"/>
        </w:rPr>
        <w:t xml:space="preserve"> </w:t>
      </w:r>
      <w:proofErr w:type="spellStart"/>
      <w:r>
        <w:rPr>
          <w:sz w:val="24"/>
        </w:rPr>
        <w:t>situation</w:t>
      </w:r>
      <w:proofErr w:type="spellEnd"/>
      <w:r>
        <w:rPr>
          <w:sz w:val="24"/>
        </w:rPr>
        <w:t xml:space="preserve">, 7 </w:t>
      </w:r>
      <w:proofErr w:type="spellStart"/>
      <w:r>
        <w:rPr>
          <w:sz w:val="24"/>
        </w:rPr>
        <w:t>January</w:t>
      </w:r>
      <w:proofErr w:type="spellEnd"/>
      <w:r>
        <w:rPr>
          <w:sz w:val="24"/>
        </w:rPr>
        <w:t xml:space="preserve"> 2022. Dostupné na:</w:t>
      </w:r>
      <w:r>
        <w:rPr>
          <w:color w:val="0000FF"/>
          <w:sz w:val="24"/>
        </w:rPr>
        <w:t xml:space="preserve"> </w:t>
      </w:r>
      <w:hyperlink r:id="rId42">
        <w:proofErr w:type="spellStart"/>
        <w:r>
          <w:rPr>
            <w:color w:val="0000FF"/>
            <w:sz w:val="24"/>
            <w:u w:val="single" w:color="0000FF"/>
          </w:rPr>
          <w:t>Guidance</w:t>
        </w:r>
        <w:proofErr w:type="spellEnd"/>
        <w:r>
          <w:rPr>
            <w:color w:val="0000FF"/>
            <w:sz w:val="24"/>
            <w:u w:val="single" w:color="0000FF"/>
          </w:rPr>
          <w:t xml:space="preserve"> on </w:t>
        </w:r>
        <w:proofErr w:type="spellStart"/>
        <w:r>
          <w:rPr>
            <w:color w:val="0000FF"/>
            <w:sz w:val="24"/>
            <w:u w:val="single" w:color="0000FF"/>
          </w:rPr>
          <w:t>quarantine</w:t>
        </w:r>
        <w:proofErr w:type="spellEnd"/>
        <w:r>
          <w:rPr>
            <w:color w:val="0000FF"/>
            <w:sz w:val="24"/>
            <w:u w:val="single" w:color="0000FF"/>
          </w:rPr>
          <w:t xml:space="preserve"> of</w:t>
        </w:r>
        <w:r>
          <w:rPr>
            <w:color w:val="0000FF"/>
            <w:sz w:val="24"/>
            <w:u w:val="single" w:color="0000FF"/>
          </w:rPr>
          <w:t xml:space="preserve"> </w:t>
        </w:r>
        <w:proofErr w:type="spellStart"/>
        <w:r>
          <w:rPr>
            <w:color w:val="0000FF"/>
            <w:sz w:val="24"/>
            <w:u w:val="single" w:color="0000FF"/>
          </w:rPr>
          <w:t>close</w:t>
        </w:r>
        <w:proofErr w:type="spellEnd"/>
        <w:r>
          <w:rPr>
            <w:color w:val="0000FF"/>
            <w:sz w:val="24"/>
            <w:u w:val="single" w:color="0000FF"/>
          </w:rPr>
          <w:t xml:space="preserve"> </w:t>
        </w:r>
        <w:proofErr w:type="spellStart"/>
        <w:r>
          <w:rPr>
            <w:color w:val="0000FF"/>
            <w:sz w:val="24"/>
            <w:u w:val="single" w:color="0000FF"/>
          </w:rPr>
          <w:t>contacts</w:t>
        </w:r>
        <w:proofErr w:type="spellEnd"/>
        <w:r>
          <w:rPr>
            <w:color w:val="0000FF"/>
            <w:sz w:val="24"/>
            <w:u w:val="single" w:color="0000FF"/>
          </w:rPr>
          <w:t xml:space="preserve"> to COVID-19 </w:t>
        </w:r>
        <w:proofErr w:type="spellStart"/>
        <w:r>
          <w:rPr>
            <w:color w:val="0000FF"/>
            <w:sz w:val="24"/>
            <w:u w:val="single" w:color="0000FF"/>
          </w:rPr>
          <w:t>cases</w:t>
        </w:r>
        <w:proofErr w:type="spellEnd"/>
        <w:r>
          <w:rPr>
            <w:color w:val="0000FF"/>
            <w:sz w:val="24"/>
            <w:u w:val="single" w:color="0000FF"/>
          </w:rPr>
          <w:t xml:space="preserve"> and </w:t>
        </w:r>
        <w:proofErr w:type="spellStart"/>
        <w:r>
          <w:rPr>
            <w:color w:val="0000FF"/>
            <w:sz w:val="24"/>
            <w:u w:val="single" w:color="0000FF"/>
          </w:rPr>
          <w:t>isolation</w:t>
        </w:r>
        <w:proofErr w:type="spellEnd"/>
        <w:r>
          <w:rPr>
            <w:color w:val="0000FF"/>
            <w:sz w:val="24"/>
            <w:u w:val="single" w:color="0000FF"/>
          </w:rPr>
          <w:t xml:space="preserve"> of</w:t>
        </w:r>
      </w:hyperlink>
      <w:hyperlink r:id="rId43">
        <w:r>
          <w:rPr>
            <w:color w:val="0000FF"/>
            <w:sz w:val="24"/>
            <w:u w:val="single" w:color="0000FF"/>
          </w:rPr>
          <w:t xml:space="preserve"> COVID-19 </w:t>
        </w:r>
        <w:proofErr w:type="spellStart"/>
        <w:r>
          <w:rPr>
            <w:color w:val="0000FF"/>
            <w:sz w:val="24"/>
            <w:u w:val="single" w:color="0000FF"/>
          </w:rPr>
          <w:t>cases</w:t>
        </w:r>
        <w:proofErr w:type="spellEnd"/>
        <w:r>
          <w:rPr>
            <w:color w:val="0000FF"/>
            <w:sz w:val="24"/>
            <w:u w:val="single" w:color="0000FF"/>
          </w:rPr>
          <w:t xml:space="preserve">, in </w:t>
        </w:r>
        <w:proofErr w:type="spellStart"/>
        <w:r>
          <w:rPr>
            <w:color w:val="0000FF"/>
            <w:sz w:val="24"/>
            <w:u w:val="single" w:color="0000FF"/>
          </w:rPr>
          <w:t>the</w:t>
        </w:r>
        <w:proofErr w:type="spellEnd"/>
        <w:r>
          <w:rPr>
            <w:color w:val="0000FF"/>
            <w:sz w:val="24"/>
            <w:u w:val="single" w:color="0000FF"/>
          </w:rPr>
          <w:t xml:space="preserve"> </w:t>
        </w:r>
        <w:proofErr w:type="spellStart"/>
        <w:r>
          <w:rPr>
            <w:color w:val="0000FF"/>
            <w:sz w:val="24"/>
            <w:u w:val="single" w:color="0000FF"/>
          </w:rPr>
          <w:t>current</w:t>
        </w:r>
        <w:proofErr w:type="spellEnd"/>
        <w:r>
          <w:rPr>
            <w:color w:val="0000FF"/>
            <w:sz w:val="24"/>
            <w:u w:val="single" w:color="0000FF"/>
          </w:rPr>
          <w:t xml:space="preserve"> </w:t>
        </w:r>
        <w:proofErr w:type="spellStart"/>
        <w:r>
          <w:rPr>
            <w:color w:val="0000FF"/>
            <w:sz w:val="24"/>
            <w:u w:val="single" w:color="0000FF"/>
          </w:rPr>
          <w:t>epidemiological</w:t>
        </w:r>
        <w:proofErr w:type="spellEnd"/>
        <w:r>
          <w:rPr>
            <w:color w:val="0000FF"/>
            <w:sz w:val="24"/>
            <w:u w:val="single" w:color="0000FF"/>
          </w:rPr>
          <w:t xml:space="preserve"> </w:t>
        </w:r>
        <w:proofErr w:type="spellStart"/>
        <w:r>
          <w:rPr>
            <w:color w:val="0000FF"/>
            <w:sz w:val="24"/>
            <w:u w:val="single" w:color="0000FF"/>
          </w:rPr>
          <w:t>situation</w:t>
        </w:r>
        <w:proofErr w:type="spellEnd"/>
        <w:r>
          <w:rPr>
            <w:color w:val="0000FF"/>
            <w:sz w:val="24"/>
            <w:u w:val="single" w:color="0000FF"/>
          </w:rPr>
          <w:t xml:space="preserve">, 7 </w:t>
        </w:r>
        <w:proofErr w:type="spellStart"/>
        <w:r>
          <w:rPr>
            <w:color w:val="0000FF"/>
            <w:sz w:val="24"/>
            <w:u w:val="single" w:color="0000FF"/>
          </w:rPr>
          <w:t>January</w:t>
        </w:r>
        <w:proofErr w:type="spellEnd"/>
        <w:r>
          <w:rPr>
            <w:color w:val="0000FF"/>
            <w:sz w:val="24"/>
            <w:u w:val="single" w:color="0000FF"/>
          </w:rPr>
          <w:t xml:space="preserve"> 2022 (europa.eu)</w:t>
        </w:r>
      </w:hyperlink>
    </w:p>
    <w:p w:rsidR="00170306" w:rsidRDefault="008D7F3E">
      <w:pPr>
        <w:pStyle w:val="ListParagraph"/>
        <w:numPr>
          <w:ilvl w:val="0"/>
          <w:numId w:val="2"/>
        </w:numPr>
        <w:tabs>
          <w:tab w:val="left" w:pos="832"/>
        </w:tabs>
        <w:spacing w:before="1" w:line="360" w:lineRule="auto"/>
        <w:ind w:right="561" w:firstLine="0"/>
        <w:jc w:val="both"/>
        <w:rPr>
          <w:sz w:val="24"/>
        </w:rPr>
      </w:pPr>
      <w:r>
        <w:rPr>
          <w:color w:val="333333"/>
          <w:sz w:val="24"/>
        </w:rPr>
        <w:t xml:space="preserve">SARS-CoV-2 </w:t>
      </w:r>
      <w:proofErr w:type="spellStart"/>
      <w:r>
        <w:rPr>
          <w:color w:val="333333"/>
          <w:sz w:val="24"/>
        </w:rPr>
        <w:t>var</w:t>
      </w:r>
      <w:r>
        <w:rPr>
          <w:color w:val="333333"/>
          <w:sz w:val="24"/>
        </w:rPr>
        <w:t>iants</w:t>
      </w:r>
      <w:proofErr w:type="spellEnd"/>
      <w:r>
        <w:rPr>
          <w:color w:val="333333"/>
          <w:sz w:val="24"/>
        </w:rPr>
        <w:t xml:space="preserve"> of </w:t>
      </w:r>
      <w:proofErr w:type="spellStart"/>
      <w:r>
        <w:rPr>
          <w:color w:val="333333"/>
          <w:sz w:val="24"/>
        </w:rPr>
        <w:t>concern</w:t>
      </w:r>
      <w:proofErr w:type="spellEnd"/>
      <w:r>
        <w:rPr>
          <w:color w:val="333333"/>
          <w:sz w:val="24"/>
        </w:rPr>
        <w:t xml:space="preserve"> and </w:t>
      </w:r>
      <w:proofErr w:type="spellStart"/>
      <w:r>
        <w:rPr>
          <w:color w:val="333333"/>
          <w:sz w:val="24"/>
        </w:rPr>
        <w:t>variants</w:t>
      </w:r>
      <w:proofErr w:type="spellEnd"/>
      <w:r>
        <w:rPr>
          <w:color w:val="333333"/>
          <w:sz w:val="24"/>
        </w:rPr>
        <w:t xml:space="preserve"> </w:t>
      </w:r>
      <w:proofErr w:type="spellStart"/>
      <w:r>
        <w:rPr>
          <w:color w:val="333333"/>
          <w:sz w:val="24"/>
        </w:rPr>
        <w:t>under</w:t>
      </w:r>
      <w:proofErr w:type="spellEnd"/>
      <w:r>
        <w:rPr>
          <w:color w:val="333333"/>
          <w:sz w:val="24"/>
        </w:rPr>
        <w:t xml:space="preserve"> </w:t>
      </w:r>
      <w:proofErr w:type="spellStart"/>
      <w:r>
        <w:rPr>
          <w:color w:val="333333"/>
          <w:sz w:val="24"/>
        </w:rPr>
        <w:t>investigation</w:t>
      </w:r>
      <w:proofErr w:type="spellEnd"/>
      <w:r>
        <w:rPr>
          <w:color w:val="333333"/>
          <w:sz w:val="24"/>
        </w:rPr>
        <w:t xml:space="preserve"> in </w:t>
      </w:r>
      <w:proofErr w:type="spellStart"/>
      <w:r>
        <w:rPr>
          <w:color w:val="333333"/>
          <w:sz w:val="24"/>
        </w:rPr>
        <w:t>England</w:t>
      </w:r>
      <w:proofErr w:type="spellEnd"/>
      <w:r>
        <w:rPr>
          <w:color w:val="333333"/>
          <w:sz w:val="24"/>
        </w:rPr>
        <w:t xml:space="preserve"> </w:t>
      </w:r>
      <w:proofErr w:type="spellStart"/>
      <w:r>
        <w:rPr>
          <w:color w:val="333333"/>
          <w:sz w:val="24"/>
        </w:rPr>
        <w:t>Technical</w:t>
      </w:r>
      <w:proofErr w:type="spellEnd"/>
      <w:r>
        <w:rPr>
          <w:color w:val="333333"/>
          <w:sz w:val="24"/>
        </w:rPr>
        <w:t xml:space="preserve"> </w:t>
      </w:r>
      <w:proofErr w:type="spellStart"/>
      <w:r>
        <w:rPr>
          <w:color w:val="333333"/>
          <w:sz w:val="24"/>
        </w:rPr>
        <w:t>briefing</w:t>
      </w:r>
      <w:proofErr w:type="spellEnd"/>
      <w:r>
        <w:rPr>
          <w:color w:val="333333"/>
          <w:sz w:val="24"/>
        </w:rPr>
        <w:t xml:space="preserve">: Update on </w:t>
      </w:r>
      <w:proofErr w:type="spellStart"/>
      <w:r>
        <w:rPr>
          <w:color w:val="333333"/>
          <w:sz w:val="24"/>
        </w:rPr>
        <w:t>hospitalization</w:t>
      </w:r>
      <w:proofErr w:type="spellEnd"/>
      <w:r>
        <w:rPr>
          <w:color w:val="333333"/>
          <w:sz w:val="24"/>
        </w:rPr>
        <w:t xml:space="preserve"> and </w:t>
      </w:r>
      <w:proofErr w:type="spellStart"/>
      <w:r>
        <w:rPr>
          <w:color w:val="333333"/>
          <w:sz w:val="24"/>
        </w:rPr>
        <w:t>vaccine</w:t>
      </w:r>
      <w:proofErr w:type="spellEnd"/>
      <w:r>
        <w:rPr>
          <w:color w:val="333333"/>
          <w:sz w:val="24"/>
        </w:rPr>
        <w:t xml:space="preserve"> </w:t>
      </w:r>
      <w:proofErr w:type="spellStart"/>
      <w:r>
        <w:rPr>
          <w:color w:val="333333"/>
          <w:sz w:val="24"/>
        </w:rPr>
        <w:t>effectiveness</w:t>
      </w:r>
      <w:proofErr w:type="spellEnd"/>
      <w:r>
        <w:rPr>
          <w:color w:val="333333"/>
          <w:sz w:val="24"/>
        </w:rPr>
        <w:t xml:space="preserve"> </w:t>
      </w:r>
      <w:proofErr w:type="spellStart"/>
      <w:r>
        <w:rPr>
          <w:color w:val="333333"/>
          <w:sz w:val="24"/>
        </w:rPr>
        <w:t>for</w:t>
      </w:r>
      <w:proofErr w:type="spellEnd"/>
      <w:r>
        <w:rPr>
          <w:color w:val="333333"/>
          <w:sz w:val="24"/>
        </w:rPr>
        <w:t xml:space="preserve"> </w:t>
      </w:r>
      <w:proofErr w:type="spellStart"/>
      <w:r w:rsidR="00F576F7">
        <w:rPr>
          <w:color w:val="333333"/>
          <w:sz w:val="24"/>
        </w:rPr>
        <w:t>Omikron</w:t>
      </w:r>
      <w:proofErr w:type="spellEnd"/>
      <w:r>
        <w:rPr>
          <w:color w:val="333333"/>
          <w:sz w:val="24"/>
        </w:rPr>
        <w:t xml:space="preserve"> VOC-21NOV-01 (B.1.1.529). </w:t>
      </w:r>
      <w:proofErr w:type="spellStart"/>
      <w:r>
        <w:rPr>
          <w:color w:val="333333"/>
          <w:sz w:val="24"/>
        </w:rPr>
        <w:t>London</w:t>
      </w:r>
      <w:proofErr w:type="spellEnd"/>
      <w:r>
        <w:rPr>
          <w:color w:val="333333"/>
          <w:sz w:val="24"/>
        </w:rPr>
        <w:t>:</w:t>
      </w:r>
    </w:p>
    <w:p w:rsidR="00170306" w:rsidRDefault="00170306">
      <w:pPr>
        <w:spacing w:line="360" w:lineRule="auto"/>
        <w:jc w:val="both"/>
        <w:rPr>
          <w:sz w:val="24"/>
        </w:rPr>
        <w:sectPr w:rsidR="00170306">
          <w:pgSz w:w="11910" w:h="16840"/>
          <w:pgMar w:top="740" w:right="440" w:bottom="280" w:left="380" w:header="720" w:footer="720" w:gutter="0"/>
          <w:pgBorders w:offsetFrom="page">
            <w:top w:val="single" w:sz="4" w:space="24" w:color="999999"/>
            <w:left w:val="single" w:sz="4" w:space="11" w:color="999999"/>
            <w:bottom w:val="single" w:sz="4" w:space="11" w:color="999999"/>
            <w:right w:val="single" w:sz="4" w:space="18" w:color="999999"/>
          </w:pgBorders>
          <w:cols w:space="720"/>
        </w:sectPr>
      </w:pPr>
    </w:p>
    <w:p w:rsidR="00170306" w:rsidRDefault="008D7F3E">
      <w:pPr>
        <w:pStyle w:val="BodyText"/>
        <w:spacing w:before="73" w:line="360" w:lineRule="auto"/>
        <w:ind w:right="591"/>
      </w:pPr>
      <w:r>
        <w:rPr>
          <w:color w:val="333333"/>
        </w:rPr>
        <w:lastRenderedPageBreak/>
        <w:t xml:space="preserve">UK </w:t>
      </w:r>
      <w:proofErr w:type="spellStart"/>
      <w:r>
        <w:rPr>
          <w:color w:val="333333"/>
        </w:rPr>
        <w:t>Health</w:t>
      </w:r>
      <w:proofErr w:type="spellEnd"/>
      <w:r>
        <w:rPr>
          <w:color w:val="333333"/>
        </w:rPr>
        <w:t xml:space="preserve"> </w:t>
      </w:r>
      <w:proofErr w:type="spellStart"/>
      <w:r>
        <w:rPr>
          <w:color w:val="333333"/>
        </w:rPr>
        <w:t>Security</w:t>
      </w:r>
      <w:proofErr w:type="spellEnd"/>
      <w:r>
        <w:rPr>
          <w:color w:val="333333"/>
        </w:rPr>
        <w:t xml:space="preserve"> </w:t>
      </w:r>
      <w:proofErr w:type="spellStart"/>
      <w:r>
        <w:rPr>
          <w:color w:val="333333"/>
        </w:rPr>
        <w:t>Agency</w:t>
      </w:r>
      <w:proofErr w:type="spellEnd"/>
      <w:r>
        <w:rPr>
          <w:color w:val="333333"/>
        </w:rPr>
        <w:t xml:space="preserve">; </w:t>
      </w:r>
      <w:r>
        <w:rPr>
          <w:color w:val="333333"/>
        </w:rPr>
        <w:t xml:space="preserve">2021. Dostupné na: </w:t>
      </w:r>
      <w:hyperlink r:id="rId44">
        <w:r>
          <w:rPr>
            <w:color w:val="0000FF"/>
            <w:u w:val="single" w:color="0000FF"/>
          </w:rPr>
          <w:t>https://assets.publishing.service.gov.uk/government/uploads/system/uploads/attachment_data/file/10444</w:t>
        </w:r>
      </w:hyperlink>
      <w:r>
        <w:rPr>
          <w:color w:val="0000FF"/>
        </w:rPr>
        <w:t xml:space="preserve"> </w:t>
      </w:r>
      <w:hyperlink r:id="rId45">
        <w:r>
          <w:rPr>
            <w:color w:val="0000FF"/>
            <w:u w:val="single" w:color="0000FF"/>
          </w:rPr>
          <w:t>81/Technical-Briefing-31-Dec-2021-</w:t>
        </w:r>
        <w:r w:rsidR="00F576F7">
          <w:rPr>
            <w:color w:val="0000FF"/>
            <w:u w:val="single" w:color="0000FF"/>
          </w:rPr>
          <w:t>Omikron</w:t>
        </w:r>
        <w:r>
          <w:rPr>
            <w:color w:val="0000FF"/>
            <w:u w:val="single" w:color="0000FF"/>
          </w:rPr>
          <w:t>_severity_update.pdf</w:t>
        </w:r>
      </w:hyperlink>
    </w:p>
    <w:p w:rsidR="00170306" w:rsidRDefault="008D7F3E">
      <w:pPr>
        <w:pStyle w:val="ListParagraph"/>
        <w:numPr>
          <w:ilvl w:val="0"/>
          <w:numId w:val="2"/>
        </w:numPr>
        <w:tabs>
          <w:tab w:val="left" w:pos="835"/>
        </w:tabs>
        <w:spacing w:before="2" w:line="360" w:lineRule="auto"/>
        <w:ind w:right="589" w:firstLine="0"/>
        <w:rPr>
          <w:color w:val="0000FF"/>
          <w:sz w:val="24"/>
        </w:rPr>
      </w:pPr>
      <w:proofErr w:type="spellStart"/>
      <w:r>
        <w:rPr>
          <w:color w:val="333333"/>
          <w:sz w:val="24"/>
        </w:rPr>
        <w:t>Imperial</w:t>
      </w:r>
      <w:proofErr w:type="spellEnd"/>
      <w:r>
        <w:rPr>
          <w:color w:val="333333"/>
          <w:sz w:val="24"/>
        </w:rPr>
        <w:t xml:space="preserve"> </w:t>
      </w:r>
      <w:proofErr w:type="spellStart"/>
      <w:r>
        <w:rPr>
          <w:color w:val="333333"/>
          <w:sz w:val="24"/>
        </w:rPr>
        <w:t>College</w:t>
      </w:r>
      <w:proofErr w:type="spellEnd"/>
      <w:r>
        <w:rPr>
          <w:color w:val="333333"/>
          <w:sz w:val="24"/>
        </w:rPr>
        <w:t xml:space="preserve"> </w:t>
      </w:r>
      <w:proofErr w:type="spellStart"/>
      <w:r>
        <w:rPr>
          <w:color w:val="333333"/>
          <w:sz w:val="24"/>
        </w:rPr>
        <w:t>London</w:t>
      </w:r>
      <w:proofErr w:type="spellEnd"/>
      <w:r>
        <w:rPr>
          <w:color w:val="333333"/>
          <w:sz w:val="24"/>
        </w:rPr>
        <w:t xml:space="preserve">. </w:t>
      </w:r>
      <w:proofErr w:type="spellStart"/>
      <w:r w:rsidR="00F576F7">
        <w:rPr>
          <w:color w:val="333333"/>
          <w:sz w:val="24"/>
        </w:rPr>
        <w:t>Omikron</w:t>
      </w:r>
      <w:proofErr w:type="spellEnd"/>
      <w:r>
        <w:rPr>
          <w:color w:val="333333"/>
          <w:sz w:val="24"/>
        </w:rPr>
        <w:t xml:space="preserve"> </w:t>
      </w:r>
      <w:proofErr w:type="spellStart"/>
      <w:r>
        <w:rPr>
          <w:color w:val="333333"/>
          <w:sz w:val="24"/>
        </w:rPr>
        <w:t>largely</w:t>
      </w:r>
      <w:proofErr w:type="spellEnd"/>
      <w:r>
        <w:rPr>
          <w:color w:val="333333"/>
          <w:sz w:val="24"/>
        </w:rPr>
        <w:t xml:space="preserve"> </w:t>
      </w:r>
      <w:proofErr w:type="spellStart"/>
      <w:r>
        <w:rPr>
          <w:color w:val="333333"/>
          <w:sz w:val="24"/>
        </w:rPr>
        <w:t>evades</w:t>
      </w:r>
      <w:proofErr w:type="spellEnd"/>
      <w:r>
        <w:rPr>
          <w:color w:val="333333"/>
          <w:sz w:val="24"/>
        </w:rPr>
        <w:t xml:space="preserve"> </w:t>
      </w:r>
      <w:proofErr w:type="spellStart"/>
      <w:r>
        <w:rPr>
          <w:color w:val="333333"/>
          <w:sz w:val="24"/>
        </w:rPr>
        <w:t>immunity</w:t>
      </w:r>
      <w:proofErr w:type="spellEnd"/>
      <w:r>
        <w:rPr>
          <w:color w:val="333333"/>
          <w:sz w:val="24"/>
        </w:rPr>
        <w:t xml:space="preserve"> </w:t>
      </w:r>
      <w:proofErr w:type="spellStart"/>
      <w:r>
        <w:rPr>
          <w:color w:val="333333"/>
          <w:sz w:val="24"/>
        </w:rPr>
        <w:t>from</w:t>
      </w:r>
      <w:proofErr w:type="spellEnd"/>
      <w:r>
        <w:rPr>
          <w:color w:val="333333"/>
          <w:sz w:val="24"/>
        </w:rPr>
        <w:t xml:space="preserve"> </w:t>
      </w:r>
      <w:proofErr w:type="spellStart"/>
      <w:r>
        <w:rPr>
          <w:color w:val="333333"/>
          <w:sz w:val="24"/>
        </w:rPr>
        <w:t>past</w:t>
      </w:r>
      <w:proofErr w:type="spellEnd"/>
      <w:r>
        <w:rPr>
          <w:color w:val="333333"/>
          <w:sz w:val="24"/>
        </w:rPr>
        <w:t xml:space="preserve"> </w:t>
      </w:r>
      <w:proofErr w:type="spellStart"/>
      <w:r>
        <w:rPr>
          <w:color w:val="333333"/>
          <w:sz w:val="24"/>
        </w:rPr>
        <w:t>infection</w:t>
      </w:r>
      <w:proofErr w:type="spellEnd"/>
      <w:r>
        <w:rPr>
          <w:color w:val="333333"/>
          <w:sz w:val="24"/>
        </w:rPr>
        <w:t xml:space="preserve"> or </w:t>
      </w:r>
      <w:proofErr w:type="spellStart"/>
      <w:r>
        <w:rPr>
          <w:color w:val="333333"/>
          <w:sz w:val="24"/>
        </w:rPr>
        <w:t>two</w:t>
      </w:r>
      <w:proofErr w:type="spellEnd"/>
      <w:r>
        <w:rPr>
          <w:color w:val="333333"/>
          <w:sz w:val="24"/>
        </w:rPr>
        <w:t xml:space="preserve"> </w:t>
      </w:r>
      <w:proofErr w:type="spellStart"/>
      <w:r>
        <w:rPr>
          <w:color w:val="333333"/>
          <w:sz w:val="24"/>
        </w:rPr>
        <w:t>vaccine</w:t>
      </w:r>
      <w:proofErr w:type="spellEnd"/>
      <w:r>
        <w:rPr>
          <w:color w:val="333333"/>
          <w:sz w:val="24"/>
        </w:rPr>
        <w:t xml:space="preserve"> </w:t>
      </w:r>
      <w:proofErr w:type="spellStart"/>
      <w:r>
        <w:rPr>
          <w:color w:val="333333"/>
          <w:sz w:val="24"/>
        </w:rPr>
        <w:t>doses</w:t>
      </w:r>
      <w:proofErr w:type="spellEnd"/>
      <w:r>
        <w:rPr>
          <w:color w:val="333333"/>
          <w:sz w:val="24"/>
        </w:rPr>
        <w:t>. Dostupné na: https:/</w:t>
      </w:r>
      <w:hyperlink r:id="rId46">
        <w:r>
          <w:rPr>
            <w:color w:val="333333"/>
            <w:sz w:val="24"/>
          </w:rPr>
          <w:t>/www.imperial.ac.uk/n</w:t>
        </w:r>
      </w:hyperlink>
      <w:r>
        <w:rPr>
          <w:color w:val="333333"/>
          <w:sz w:val="24"/>
        </w:rPr>
        <w:t>e</w:t>
      </w:r>
      <w:hyperlink r:id="rId47">
        <w:r>
          <w:rPr>
            <w:color w:val="333333"/>
            <w:sz w:val="24"/>
          </w:rPr>
          <w:t>ws/232698/</w:t>
        </w:r>
        <w:r w:rsidR="00F576F7">
          <w:rPr>
            <w:color w:val="333333"/>
            <w:sz w:val="24"/>
          </w:rPr>
          <w:t>omikron</w:t>
        </w:r>
        <w:r>
          <w:rPr>
            <w:color w:val="333333"/>
            <w:sz w:val="24"/>
          </w:rPr>
          <w:t>-largely-evades-immunity-from-</w:t>
        </w:r>
      </w:hyperlink>
      <w:r>
        <w:rPr>
          <w:color w:val="333333"/>
          <w:sz w:val="24"/>
        </w:rPr>
        <w:t xml:space="preserve"> </w:t>
      </w:r>
      <w:proofErr w:type="spellStart"/>
      <w:r>
        <w:rPr>
          <w:color w:val="333333"/>
          <w:sz w:val="24"/>
        </w:rPr>
        <w:t>past</w:t>
      </w:r>
      <w:proofErr w:type="spellEnd"/>
      <w:r>
        <w:rPr>
          <w:color w:val="333333"/>
          <w:sz w:val="24"/>
        </w:rPr>
        <w:t>/</w:t>
      </w:r>
    </w:p>
    <w:sectPr w:rsidR="00170306">
      <w:pgSz w:w="11910" w:h="16840"/>
      <w:pgMar w:top="740" w:right="440" w:bottom="280" w:left="380" w:header="720" w:footer="720" w:gutter="0"/>
      <w:pgBorders w:offsetFrom="page">
        <w:top w:val="single" w:sz="4" w:space="24" w:color="999999"/>
        <w:left w:val="single" w:sz="4" w:space="11" w:color="999999"/>
        <w:bottom w:val="single" w:sz="4" w:space="11" w:color="999999"/>
        <w:right w:val="single" w:sz="4" w:space="18" w:color="9999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A35"/>
    <w:multiLevelType w:val="hybridMultilevel"/>
    <w:tmpl w:val="E4AA14DA"/>
    <w:lvl w:ilvl="0" w:tplc="546C3A58">
      <w:numFmt w:val="bullet"/>
      <w:lvlText w:val=""/>
      <w:lvlJc w:val="left"/>
      <w:pPr>
        <w:ind w:left="825" w:hanging="360"/>
      </w:pPr>
      <w:rPr>
        <w:rFonts w:ascii="Symbol" w:eastAsia="Symbol" w:hAnsi="Symbol" w:cs="Symbol" w:hint="default"/>
        <w:w w:val="99"/>
        <w:sz w:val="20"/>
        <w:szCs w:val="20"/>
        <w:lang/>
      </w:rPr>
    </w:lvl>
    <w:lvl w:ilvl="1" w:tplc="91E6D26E">
      <w:numFmt w:val="bullet"/>
      <w:lvlText w:val="•"/>
      <w:lvlJc w:val="left"/>
      <w:pPr>
        <w:ind w:left="1215" w:hanging="360"/>
      </w:pPr>
      <w:rPr>
        <w:rFonts w:hint="default"/>
        <w:lang/>
      </w:rPr>
    </w:lvl>
    <w:lvl w:ilvl="2" w:tplc="5E18586C">
      <w:numFmt w:val="bullet"/>
      <w:lvlText w:val="•"/>
      <w:lvlJc w:val="left"/>
      <w:pPr>
        <w:ind w:left="1611" w:hanging="360"/>
      </w:pPr>
      <w:rPr>
        <w:rFonts w:hint="default"/>
        <w:lang/>
      </w:rPr>
    </w:lvl>
    <w:lvl w:ilvl="3" w:tplc="9D3CA364">
      <w:numFmt w:val="bullet"/>
      <w:lvlText w:val="•"/>
      <w:lvlJc w:val="left"/>
      <w:pPr>
        <w:ind w:left="2007" w:hanging="360"/>
      </w:pPr>
      <w:rPr>
        <w:rFonts w:hint="default"/>
        <w:lang/>
      </w:rPr>
    </w:lvl>
    <w:lvl w:ilvl="4" w:tplc="D42C4578">
      <w:numFmt w:val="bullet"/>
      <w:lvlText w:val="•"/>
      <w:lvlJc w:val="left"/>
      <w:pPr>
        <w:ind w:left="2403" w:hanging="360"/>
      </w:pPr>
      <w:rPr>
        <w:rFonts w:hint="default"/>
        <w:lang/>
      </w:rPr>
    </w:lvl>
    <w:lvl w:ilvl="5" w:tplc="6888A574">
      <w:numFmt w:val="bullet"/>
      <w:lvlText w:val="•"/>
      <w:lvlJc w:val="left"/>
      <w:pPr>
        <w:ind w:left="2799" w:hanging="360"/>
      </w:pPr>
      <w:rPr>
        <w:rFonts w:hint="default"/>
        <w:lang/>
      </w:rPr>
    </w:lvl>
    <w:lvl w:ilvl="6" w:tplc="FFB097F4">
      <w:numFmt w:val="bullet"/>
      <w:lvlText w:val="•"/>
      <w:lvlJc w:val="left"/>
      <w:pPr>
        <w:ind w:left="3195" w:hanging="360"/>
      </w:pPr>
      <w:rPr>
        <w:rFonts w:hint="default"/>
        <w:lang/>
      </w:rPr>
    </w:lvl>
    <w:lvl w:ilvl="7" w:tplc="E7C0709E">
      <w:numFmt w:val="bullet"/>
      <w:lvlText w:val="•"/>
      <w:lvlJc w:val="left"/>
      <w:pPr>
        <w:ind w:left="3591" w:hanging="360"/>
      </w:pPr>
      <w:rPr>
        <w:rFonts w:hint="default"/>
        <w:lang/>
      </w:rPr>
    </w:lvl>
    <w:lvl w:ilvl="8" w:tplc="D6368192">
      <w:numFmt w:val="bullet"/>
      <w:lvlText w:val="•"/>
      <w:lvlJc w:val="left"/>
      <w:pPr>
        <w:ind w:left="3987" w:hanging="360"/>
      </w:pPr>
      <w:rPr>
        <w:rFonts w:hint="default"/>
        <w:lang/>
      </w:rPr>
    </w:lvl>
  </w:abstractNum>
  <w:abstractNum w:abstractNumId="1" w15:restartNumberingAfterBreak="0">
    <w:nsid w:val="0213450C"/>
    <w:multiLevelType w:val="hybridMultilevel"/>
    <w:tmpl w:val="66809970"/>
    <w:lvl w:ilvl="0" w:tplc="D9B8F3A0">
      <w:start w:val="1"/>
      <w:numFmt w:val="decimal"/>
      <w:lvlText w:val="%1."/>
      <w:lvlJc w:val="left"/>
      <w:pPr>
        <w:ind w:left="472" w:hanging="240"/>
        <w:jc w:val="left"/>
      </w:pPr>
      <w:rPr>
        <w:rFonts w:hint="default"/>
        <w:spacing w:val="-5"/>
        <w:lang/>
      </w:rPr>
    </w:lvl>
    <w:lvl w:ilvl="1" w:tplc="0B028584">
      <w:numFmt w:val="bullet"/>
      <w:lvlText w:val="•"/>
      <w:lvlJc w:val="left"/>
      <w:pPr>
        <w:ind w:left="1540" w:hanging="240"/>
      </w:pPr>
      <w:rPr>
        <w:rFonts w:hint="default"/>
        <w:lang/>
      </w:rPr>
    </w:lvl>
    <w:lvl w:ilvl="2" w:tplc="9078DF66">
      <w:numFmt w:val="bullet"/>
      <w:lvlText w:val="•"/>
      <w:lvlJc w:val="left"/>
      <w:pPr>
        <w:ind w:left="2601" w:hanging="240"/>
      </w:pPr>
      <w:rPr>
        <w:rFonts w:hint="default"/>
        <w:lang/>
      </w:rPr>
    </w:lvl>
    <w:lvl w:ilvl="3" w:tplc="D82826A4">
      <w:numFmt w:val="bullet"/>
      <w:lvlText w:val="•"/>
      <w:lvlJc w:val="left"/>
      <w:pPr>
        <w:ind w:left="3661" w:hanging="240"/>
      </w:pPr>
      <w:rPr>
        <w:rFonts w:hint="default"/>
        <w:lang/>
      </w:rPr>
    </w:lvl>
    <w:lvl w:ilvl="4" w:tplc="A9E2DF98">
      <w:numFmt w:val="bullet"/>
      <w:lvlText w:val="•"/>
      <w:lvlJc w:val="left"/>
      <w:pPr>
        <w:ind w:left="4722" w:hanging="240"/>
      </w:pPr>
      <w:rPr>
        <w:rFonts w:hint="default"/>
        <w:lang/>
      </w:rPr>
    </w:lvl>
    <w:lvl w:ilvl="5" w:tplc="5F7A3752">
      <w:numFmt w:val="bullet"/>
      <w:lvlText w:val="•"/>
      <w:lvlJc w:val="left"/>
      <w:pPr>
        <w:ind w:left="5783" w:hanging="240"/>
      </w:pPr>
      <w:rPr>
        <w:rFonts w:hint="default"/>
        <w:lang/>
      </w:rPr>
    </w:lvl>
    <w:lvl w:ilvl="6" w:tplc="C9BA635E">
      <w:numFmt w:val="bullet"/>
      <w:lvlText w:val="•"/>
      <w:lvlJc w:val="left"/>
      <w:pPr>
        <w:ind w:left="6843" w:hanging="240"/>
      </w:pPr>
      <w:rPr>
        <w:rFonts w:hint="default"/>
        <w:lang/>
      </w:rPr>
    </w:lvl>
    <w:lvl w:ilvl="7" w:tplc="A9909CB8">
      <w:numFmt w:val="bullet"/>
      <w:lvlText w:val="•"/>
      <w:lvlJc w:val="left"/>
      <w:pPr>
        <w:ind w:left="7904" w:hanging="240"/>
      </w:pPr>
      <w:rPr>
        <w:rFonts w:hint="default"/>
        <w:lang/>
      </w:rPr>
    </w:lvl>
    <w:lvl w:ilvl="8" w:tplc="A65E01DC">
      <w:numFmt w:val="bullet"/>
      <w:lvlText w:val="•"/>
      <w:lvlJc w:val="left"/>
      <w:pPr>
        <w:ind w:left="8965" w:hanging="240"/>
      </w:pPr>
      <w:rPr>
        <w:rFonts w:hint="default"/>
        <w:lang/>
      </w:rPr>
    </w:lvl>
  </w:abstractNum>
  <w:abstractNum w:abstractNumId="2" w15:restartNumberingAfterBreak="0">
    <w:nsid w:val="09CE5791"/>
    <w:multiLevelType w:val="hybridMultilevel"/>
    <w:tmpl w:val="3FD40680"/>
    <w:lvl w:ilvl="0" w:tplc="C6D6A0B4">
      <w:numFmt w:val="bullet"/>
      <w:lvlText w:val="•"/>
      <w:lvlJc w:val="left"/>
      <w:pPr>
        <w:ind w:left="105" w:hanging="163"/>
      </w:pPr>
      <w:rPr>
        <w:rFonts w:ascii="Times New Roman" w:eastAsia="Times New Roman" w:hAnsi="Times New Roman" w:cs="Times New Roman" w:hint="default"/>
        <w:w w:val="99"/>
        <w:sz w:val="20"/>
        <w:szCs w:val="20"/>
        <w:lang/>
      </w:rPr>
    </w:lvl>
    <w:lvl w:ilvl="1" w:tplc="98B27BF6">
      <w:numFmt w:val="bullet"/>
      <w:lvlText w:val="•"/>
      <w:lvlJc w:val="left"/>
      <w:pPr>
        <w:ind w:left="567" w:hanging="163"/>
      </w:pPr>
      <w:rPr>
        <w:rFonts w:hint="default"/>
        <w:lang/>
      </w:rPr>
    </w:lvl>
    <w:lvl w:ilvl="2" w:tplc="0D4A0B82">
      <w:numFmt w:val="bullet"/>
      <w:lvlText w:val="•"/>
      <w:lvlJc w:val="left"/>
      <w:pPr>
        <w:ind w:left="1035" w:hanging="163"/>
      </w:pPr>
      <w:rPr>
        <w:rFonts w:hint="default"/>
        <w:lang/>
      </w:rPr>
    </w:lvl>
    <w:lvl w:ilvl="3" w:tplc="D72C591C">
      <w:numFmt w:val="bullet"/>
      <w:lvlText w:val="•"/>
      <w:lvlJc w:val="left"/>
      <w:pPr>
        <w:ind w:left="1503" w:hanging="163"/>
      </w:pPr>
      <w:rPr>
        <w:rFonts w:hint="default"/>
        <w:lang/>
      </w:rPr>
    </w:lvl>
    <w:lvl w:ilvl="4" w:tplc="0F4AE422">
      <w:numFmt w:val="bullet"/>
      <w:lvlText w:val="•"/>
      <w:lvlJc w:val="left"/>
      <w:pPr>
        <w:ind w:left="1971" w:hanging="163"/>
      </w:pPr>
      <w:rPr>
        <w:rFonts w:hint="default"/>
        <w:lang/>
      </w:rPr>
    </w:lvl>
    <w:lvl w:ilvl="5" w:tplc="996C2AC2">
      <w:numFmt w:val="bullet"/>
      <w:lvlText w:val="•"/>
      <w:lvlJc w:val="left"/>
      <w:pPr>
        <w:ind w:left="2439" w:hanging="163"/>
      </w:pPr>
      <w:rPr>
        <w:rFonts w:hint="default"/>
        <w:lang/>
      </w:rPr>
    </w:lvl>
    <w:lvl w:ilvl="6" w:tplc="DC7061E0">
      <w:numFmt w:val="bullet"/>
      <w:lvlText w:val="•"/>
      <w:lvlJc w:val="left"/>
      <w:pPr>
        <w:ind w:left="2907" w:hanging="163"/>
      </w:pPr>
      <w:rPr>
        <w:rFonts w:hint="default"/>
        <w:lang/>
      </w:rPr>
    </w:lvl>
    <w:lvl w:ilvl="7" w:tplc="575499B0">
      <w:numFmt w:val="bullet"/>
      <w:lvlText w:val="•"/>
      <w:lvlJc w:val="left"/>
      <w:pPr>
        <w:ind w:left="3375" w:hanging="163"/>
      </w:pPr>
      <w:rPr>
        <w:rFonts w:hint="default"/>
        <w:lang/>
      </w:rPr>
    </w:lvl>
    <w:lvl w:ilvl="8" w:tplc="7C0EBBF2">
      <w:numFmt w:val="bullet"/>
      <w:lvlText w:val="•"/>
      <w:lvlJc w:val="left"/>
      <w:pPr>
        <w:ind w:left="3843" w:hanging="163"/>
      </w:pPr>
      <w:rPr>
        <w:rFonts w:hint="default"/>
        <w:lang/>
      </w:rPr>
    </w:lvl>
  </w:abstractNum>
  <w:abstractNum w:abstractNumId="3" w15:restartNumberingAfterBreak="0">
    <w:nsid w:val="27A0686E"/>
    <w:multiLevelType w:val="hybridMultilevel"/>
    <w:tmpl w:val="1D7C8A82"/>
    <w:lvl w:ilvl="0" w:tplc="2FA2B166">
      <w:start w:val="1"/>
      <w:numFmt w:val="decimal"/>
      <w:lvlText w:val="%1."/>
      <w:lvlJc w:val="left"/>
      <w:pPr>
        <w:ind w:left="755" w:hanging="360"/>
        <w:jc w:val="right"/>
      </w:pPr>
      <w:rPr>
        <w:rFonts w:ascii="Times New Roman" w:eastAsia="Times New Roman" w:hAnsi="Times New Roman" w:cs="Times New Roman" w:hint="default"/>
        <w:sz w:val="24"/>
        <w:szCs w:val="24"/>
        <w:lang/>
      </w:rPr>
    </w:lvl>
    <w:lvl w:ilvl="1" w:tplc="03D68526">
      <w:numFmt w:val="bullet"/>
      <w:lvlText w:val=""/>
      <w:lvlJc w:val="left"/>
      <w:pPr>
        <w:ind w:left="1192" w:hanging="361"/>
      </w:pPr>
      <w:rPr>
        <w:rFonts w:ascii="Symbol" w:eastAsia="Symbol" w:hAnsi="Symbol" w:cs="Symbol" w:hint="default"/>
        <w:sz w:val="24"/>
        <w:szCs w:val="24"/>
        <w:lang/>
      </w:rPr>
    </w:lvl>
    <w:lvl w:ilvl="2" w:tplc="78C6A016">
      <w:numFmt w:val="bullet"/>
      <w:lvlText w:val="•"/>
      <w:lvlJc w:val="left"/>
      <w:pPr>
        <w:ind w:left="2298" w:hanging="361"/>
      </w:pPr>
      <w:rPr>
        <w:rFonts w:hint="default"/>
        <w:lang/>
      </w:rPr>
    </w:lvl>
    <w:lvl w:ilvl="3" w:tplc="E224097A">
      <w:numFmt w:val="bullet"/>
      <w:lvlText w:val="•"/>
      <w:lvlJc w:val="left"/>
      <w:pPr>
        <w:ind w:left="3396" w:hanging="361"/>
      </w:pPr>
      <w:rPr>
        <w:rFonts w:hint="default"/>
        <w:lang/>
      </w:rPr>
    </w:lvl>
    <w:lvl w:ilvl="4" w:tplc="0714EE86">
      <w:numFmt w:val="bullet"/>
      <w:lvlText w:val="•"/>
      <w:lvlJc w:val="left"/>
      <w:pPr>
        <w:ind w:left="4495" w:hanging="361"/>
      </w:pPr>
      <w:rPr>
        <w:rFonts w:hint="default"/>
        <w:lang/>
      </w:rPr>
    </w:lvl>
    <w:lvl w:ilvl="5" w:tplc="0A0CEA36">
      <w:numFmt w:val="bullet"/>
      <w:lvlText w:val="•"/>
      <w:lvlJc w:val="left"/>
      <w:pPr>
        <w:ind w:left="5593" w:hanging="361"/>
      </w:pPr>
      <w:rPr>
        <w:rFonts w:hint="default"/>
        <w:lang/>
      </w:rPr>
    </w:lvl>
    <w:lvl w:ilvl="6" w:tplc="E23CB7D0">
      <w:numFmt w:val="bullet"/>
      <w:lvlText w:val="•"/>
      <w:lvlJc w:val="left"/>
      <w:pPr>
        <w:ind w:left="6692" w:hanging="361"/>
      </w:pPr>
      <w:rPr>
        <w:rFonts w:hint="default"/>
        <w:lang/>
      </w:rPr>
    </w:lvl>
    <w:lvl w:ilvl="7" w:tplc="3F8E8C6A">
      <w:numFmt w:val="bullet"/>
      <w:lvlText w:val="•"/>
      <w:lvlJc w:val="left"/>
      <w:pPr>
        <w:ind w:left="7790" w:hanging="361"/>
      </w:pPr>
      <w:rPr>
        <w:rFonts w:hint="default"/>
        <w:lang/>
      </w:rPr>
    </w:lvl>
    <w:lvl w:ilvl="8" w:tplc="3FD2E99E">
      <w:numFmt w:val="bullet"/>
      <w:lvlText w:val="•"/>
      <w:lvlJc w:val="left"/>
      <w:pPr>
        <w:ind w:left="8889" w:hanging="361"/>
      </w:pPr>
      <w:rPr>
        <w:rFonts w:hint="default"/>
        <w:lang/>
      </w:rPr>
    </w:lvl>
  </w:abstractNum>
  <w:abstractNum w:abstractNumId="4" w15:restartNumberingAfterBreak="0">
    <w:nsid w:val="41757611"/>
    <w:multiLevelType w:val="hybridMultilevel"/>
    <w:tmpl w:val="8050F0A8"/>
    <w:lvl w:ilvl="0" w:tplc="188E4CE0">
      <w:numFmt w:val="bullet"/>
      <w:lvlText w:val=""/>
      <w:lvlJc w:val="left"/>
      <w:pPr>
        <w:ind w:left="1192" w:hanging="361"/>
      </w:pPr>
      <w:rPr>
        <w:rFonts w:ascii="Symbol" w:eastAsia="Symbol" w:hAnsi="Symbol" w:cs="Symbol" w:hint="default"/>
        <w:sz w:val="24"/>
        <w:szCs w:val="24"/>
        <w:lang/>
      </w:rPr>
    </w:lvl>
    <w:lvl w:ilvl="1" w:tplc="BD225E64">
      <w:numFmt w:val="bullet"/>
      <w:lvlText w:val="-"/>
      <w:lvlJc w:val="left"/>
      <w:pPr>
        <w:ind w:left="1552" w:hanging="360"/>
      </w:pPr>
      <w:rPr>
        <w:rFonts w:ascii="Times New Roman" w:eastAsia="Times New Roman" w:hAnsi="Times New Roman" w:cs="Times New Roman" w:hint="default"/>
        <w:w w:val="100"/>
        <w:sz w:val="21"/>
        <w:szCs w:val="21"/>
        <w:lang/>
      </w:rPr>
    </w:lvl>
    <w:lvl w:ilvl="2" w:tplc="9D766860">
      <w:numFmt w:val="bullet"/>
      <w:lvlText w:val="o"/>
      <w:lvlJc w:val="left"/>
      <w:pPr>
        <w:ind w:left="2272" w:hanging="360"/>
      </w:pPr>
      <w:rPr>
        <w:rFonts w:ascii="Courier New" w:eastAsia="Courier New" w:hAnsi="Courier New" w:cs="Courier New" w:hint="default"/>
        <w:w w:val="100"/>
        <w:sz w:val="21"/>
        <w:szCs w:val="21"/>
        <w:lang/>
      </w:rPr>
    </w:lvl>
    <w:lvl w:ilvl="3" w:tplc="A162C414">
      <w:numFmt w:val="bullet"/>
      <w:lvlText w:val="•"/>
      <w:lvlJc w:val="left"/>
      <w:pPr>
        <w:ind w:left="3380" w:hanging="360"/>
      </w:pPr>
      <w:rPr>
        <w:rFonts w:hint="default"/>
        <w:lang/>
      </w:rPr>
    </w:lvl>
    <w:lvl w:ilvl="4" w:tplc="B1A0C4B2">
      <w:numFmt w:val="bullet"/>
      <w:lvlText w:val="•"/>
      <w:lvlJc w:val="left"/>
      <w:pPr>
        <w:ind w:left="4481" w:hanging="360"/>
      </w:pPr>
      <w:rPr>
        <w:rFonts w:hint="default"/>
        <w:lang/>
      </w:rPr>
    </w:lvl>
    <w:lvl w:ilvl="5" w:tplc="954CFCC8">
      <w:numFmt w:val="bullet"/>
      <w:lvlText w:val="•"/>
      <w:lvlJc w:val="left"/>
      <w:pPr>
        <w:ind w:left="5582" w:hanging="360"/>
      </w:pPr>
      <w:rPr>
        <w:rFonts w:hint="default"/>
        <w:lang/>
      </w:rPr>
    </w:lvl>
    <w:lvl w:ilvl="6" w:tplc="09E27352">
      <w:numFmt w:val="bullet"/>
      <w:lvlText w:val="•"/>
      <w:lvlJc w:val="left"/>
      <w:pPr>
        <w:ind w:left="6683" w:hanging="360"/>
      </w:pPr>
      <w:rPr>
        <w:rFonts w:hint="default"/>
        <w:lang/>
      </w:rPr>
    </w:lvl>
    <w:lvl w:ilvl="7" w:tplc="951E1744">
      <w:numFmt w:val="bullet"/>
      <w:lvlText w:val="•"/>
      <w:lvlJc w:val="left"/>
      <w:pPr>
        <w:ind w:left="7784" w:hanging="360"/>
      </w:pPr>
      <w:rPr>
        <w:rFonts w:hint="default"/>
        <w:lang/>
      </w:rPr>
    </w:lvl>
    <w:lvl w:ilvl="8" w:tplc="DED673B2">
      <w:numFmt w:val="bullet"/>
      <w:lvlText w:val="•"/>
      <w:lvlJc w:val="left"/>
      <w:pPr>
        <w:ind w:left="8884" w:hanging="360"/>
      </w:pPr>
      <w:rPr>
        <w:rFonts w:hint="default"/>
        <w:lang/>
      </w:rPr>
    </w:lvl>
  </w:abstractNum>
  <w:abstractNum w:abstractNumId="5" w15:restartNumberingAfterBreak="0">
    <w:nsid w:val="59196BCD"/>
    <w:multiLevelType w:val="hybridMultilevel"/>
    <w:tmpl w:val="CDF85504"/>
    <w:lvl w:ilvl="0" w:tplc="FA3EBE70">
      <w:start w:val="1"/>
      <w:numFmt w:val="lowerLetter"/>
      <w:lvlText w:val="[%1]"/>
      <w:lvlJc w:val="left"/>
      <w:pPr>
        <w:ind w:left="472" w:hanging="341"/>
        <w:jc w:val="left"/>
      </w:pPr>
      <w:rPr>
        <w:rFonts w:ascii="Times New Roman" w:eastAsia="Times New Roman" w:hAnsi="Times New Roman" w:cs="Times New Roman" w:hint="default"/>
        <w:w w:val="100"/>
        <w:sz w:val="21"/>
        <w:szCs w:val="21"/>
        <w:lang/>
      </w:rPr>
    </w:lvl>
    <w:lvl w:ilvl="1" w:tplc="4F90B2C8">
      <w:numFmt w:val="bullet"/>
      <w:lvlText w:val="•"/>
      <w:lvlJc w:val="left"/>
      <w:pPr>
        <w:ind w:left="1540" w:hanging="341"/>
      </w:pPr>
      <w:rPr>
        <w:rFonts w:hint="default"/>
        <w:lang/>
      </w:rPr>
    </w:lvl>
    <w:lvl w:ilvl="2" w:tplc="1EA86728">
      <w:numFmt w:val="bullet"/>
      <w:lvlText w:val="•"/>
      <w:lvlJc w:val="left"/>
      <w:pPr>
        <w:ind w:left="2601" w:hanging="341"/>
      </w:pPr>
      <w:rPr>
        <w:rFonts w:hint="default"/>
        <w:lang/>
      </w:rPr>
    </w:lvl>
    <w:lvl w:ilvl="3" w:tplc="FC3E9EBA">
      <w:numFmt w:val="bullet"/>
      <w:lvlText w:val="•"/>
      <w:lvlJc w:val="left"/>
      <w:pPr>
        <w:ind w:left="3661" w:hanging="341"/>
      </w:pPr>
      <w:rPr>
        <w:rFonts w:hint="default"/>
        <w:lang/>
      </w:rPr>
    </w:lvl>
    <w:lvl w:ilvl="4" w:tplc="BF000362">
      <w:numFmt w:val="bullet"/>
      <w:lvlText w:val="•"/>
      <w:lvlJc w:val="left"/>
      <w:pPr>
        <w:ind w:left="4722" w:hanging="341"/>
      </w:pPr>
      <w:rPr>
        <w:rFonts w:hint="default"/>
        <w:lang/>
      </w:rPr>
    </w:lvl>
    <w:lvl w:ilvl="5" w:tplc="2A4C16EE">
      <w:numFmt w:val="bullet"/>
      <w:lvlText w:val="•"/>
      <w:lvlJc w:val="left"/>
      <w:pPr>
        <w:ind w:left="5783" w:hanging="341"/>
      </w:pPr>
      <w:rPr>
        <w:rFonts w:hint="default"/>
        <w:lang/>
      </w:rPr>
    </w:lvl>
    <w:lvl w:ilvl="6" w:tplc="E7EABDF0">
      <w:numFmt w:val="bullet"/>
      <w:lvlText w:val="•"/>
      <w:lvlJc w:val="left"/>
      <w:pPr>
        <w:ind w:left="6843" w:hanging="341"/>
      </w:pPr>
      <w:rPr>
        <w:rFonts w:hint="default"/>
        <w:lang/>
      </w:rPr>
    </w:lvl>
    <w:lvl w:ilvl="7" w:tplc="4F2E2FF6">
      <w:numFmt w:val="bullet"/>
      <w:lvlText w:val="•"/>
      <w:lvlJc w:val="left"/>
      <w:pPr>
        <w:ind w:left="7904" w:hanging="341"/>
      </w:pPr>
      <w:rPr>
        <w:rFonts w:hint="default"/>
        <w:lang/>
      </w:rPr>
    </w:lvl>
    <w:lvl w:ilvl="8" w:tplc="7B1C8306">
      <w:numFmt w:val="bullet"/>
      <w:lvlText w:val="•"/>
      <w:lvlJc w:val="left"/>
      <w:pPr>
        <w:ind w:left="8965" w:hanging="341"/>
      </w:pPr>
      <w:rPr>
        <w:rFonts w:hint="default"/>
        <w:lang/>
      </w:rPr>
    </w:lvl>
  </w:abstractNum>
  <w:abstractNum w:abstractNumId="6" w15:restartNumberingAfterBreak="0">
    <w:nsid w:val="68DB584E"/>
    <w:multiLevelType w:val="hybridMultilevel"/>
    <w:tmpl w:val="E25695C2"/>
    <w:lvl w:ilvl="0" w:tplc="A1DE7332">
      <w:numFmt w:val="bullet"/>
      <w:lvlText w:val="•"/>
      <w:lvlJc w:val="left"/>
      <w:pPr>
        <w:ind w:left="105" w:hanging="118"/>
      </w:pPr>
      <w:rPr>
        <w:rFonts w:ascii="Times New Roman" w:eastAsia="Times New Roman" w:hAnsi="Times New Roman" w:cs="Times New Roman" w:hint="default"/>
        <w:w w:val="99"/>
        <w:sz w:val="20"/>
        <w:szCs w:val="20"/>
        <w:lang/>
      </w:rPr>
    </w:lvl>
    <w:lvl w:ilvl="1" w:tplc="A4A85F0E">
      <w:numFmt w:val="bullet"/>
      <w:lvlText w:val="•"/>
      <w:lvlJc w:val="left"/>
      <w:pPr>
        <w:ind w:left="567" w:hanging="118"/>
      </w:pPr>
      <w:rPr>
        <w:rFonts w:hint="default"/>
        <w:lang/>
      </w:rPr>
    </w:lvl>
    <w:lvl w:ilvl="2" w:tplc="2E64F99C">
      <w:numFmt w:val="bullet"/>
      <w:lvlText w:val="•"/>
      <w:lvlJc w:val="left"/>
      <w:pPr>
        <w:ind w:left="1035" w:hanging="118"/>
      </w:pPr>
      <w:rPr>
        <w:rFonts w:hint="default"/>
        <w:lang/>
      </w:rPr>
    </w:lvl>
    <w:lvl w:ilvl="3" w:tplc="5AC24716">
      <w:numFmt w:val="bullet"/>
      <w:lvlText w:val="•"/>
      <w:lvlJc w:val="left"/>
      <w:pPr>
        <w:ind w:left="1503" w:hanging="118"/>
      </w:pPr>
      <w:rPr>
        <w:rFonts w:hint="default"/>
        <w:lang/>
      </w:rPr>
    </w:lvl>
    <w:lvl w:ilvl="4" w:tplc="8CB8DF32">
      <w:numFmt w:val="bullet"/>
      <w:lvlText w:val="•"/>
      <w:lvlJc w:val="left"/>
      <w:pPr>
        <w:ind w:left="1971" w:hanging="118"/>
      </w:pPr>
      <w:rPr>
        <w:rFonts w:hint="default"/>
        <w:lang/>
      </w:rPr>
    </w:lvl>
    <w:lvl w:ilvl="5" w:tplc="378095D6">
      <w:numFmt w:val="bullet"/>
      <w:lvlText w:val="•"/>
      <w:lvlJc w:val="left"/>
      <w:pPr>
        <w:ind w:left="2439" w:hanging="118"/>
      </w:pPr>
      <w:rPr>
        <w:rFonts w:hint="default"/>
        <w:lang/>
      </w:rPr>
    </w:lvl>
    <w:lvl w:ilvl="6" w:tplc="DE4E0806">
      <w:numFmt w:val="bullet"/>
      <w:lvlText w:val="•"/>
      <w:lvlJc w:val="left"/>
      <w:pPr>
        <w:ind w:left="2907" w:hanging="118"/>
      </w:pPr>
      <w:rPr>
        <w:rFonts w:hint="default"/>
        <w:lang/>
      </w:rPr>
    </w:lvl>
    <w:lvl w:ilvl="7" w:tplc="33B4CBB2">
      <w:numFmt w:val="bullet"/>
      <w:lvlText w:val="•"/>
      <w:lvlJc w:val="left"/>
      <w:pPr>
        <w:ind w:left="3375" w:hanging="118"/>
      </w:pPr>
      <w:rPr>
        <w:rFonts w:hint="default"/>
        <w:lang/>
      </w:rPr>
    </w:lvl>
    <w:lvl w:ilvl="8" w:tplc="F5B4B69C">
      <w:numFmt w:val="bullet"/>
      <w:lvlText w:val="•"/>
      <w:lvlJc w:val="left"/>
      <w:pPr>
        <w:ind w:left="3843" w:hanging="118"/>
      </w:pPr>
      <w:rPr>
        <w:rFonts w:hint="default"/>
        <w:lang/>
      </w:r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70306"/>
    <w:rsid w:val="00170306"/>
    <w:rsid w:val="00525EBE"/>
    <w:rsid w:val="008D7F3E"/>
    <w:rsid w:val="00E2645B"/>
    <w:rsid w:val="00E277CB"/>
    <w:rsid w:val="00F37F92"/>
    <w:rsid w:val="00F5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CB66F6"/>
  <w15:docId w15:val="{79603A71-142E-4686-9D2F-D2DD345D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spacing w:before="1"/>
      <w:ind w:left="472" w:right="54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pPr>
    <w:rPr>
      <w:sz w:val="24"/>
      <w:szCs w:val="24"/>
    </w:rPr>
  </w:style>
  <w:style w:type="paragraph" w:styleId="ListParagraph">
    <w:name w:val="List Paragraph"/>
    <w:basedOn w:val="Normal"/>
    <w:uiPriority w:val="1"/>
    <w:qFormat/>
    <w:pPr>
      <w:ind w:left="472"/>
      <w:jc w:val="both"/>
    </w:pPr>
  </w:style>
  <w:style w:type="paragraph" w:customStyle="1" w:styleId="TableParagraph">
    <w:name w:val="Table Paragraph"/>
    <w:basedOn w:val="Normal"/>
    <w:uiPriority w:val="1"/>
    <w:qFormat/>
    <w:pPr>
      <w:ind w:left="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6"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39" Type="http://schemas.openxmlformats.org/officeDocument/2006/relationships/hyperlink" Target="https://www.gisaid.org/hcov19-variants/" TargetMode="External"/><Relationship Id="rId3" Type="http://schemas.openxmlformats.org/officeDocument/2006/relationships/settings" Target="settings.xml"/><Relationship Id="rId21" Type="http://schemas.openxmlformats.org/officeDocument/2006/relationships/hyperlink" Target="https://www.cdc.gov/coronavirus/2019-ncov/hcp/guidance-risk-assesment-hcp.html" TargetMode="External"/><Relationship Id="rId34" Type="http://schemas.openxmlformats.org/officeDocument/2006/relationships/hyperlink" Target="https://www.cdc.gov/coronavirus/2019-ncov/science/science-briefs/scientific-brief-options-to-reduce-quarantine.html" TargetMode="External"/><Relationship Id="rId42" Type="http://schemas.openxmlformats.org/officeDocument/2006/relationships/hyperlink" Target="https://www.ecdc.europa.eu/en/covid-19/prevention-and-control/quarantine-and-isolation" TargetMode="External"/><Relationship Id="rId47" Type="http://schemas.openxmlformats.org/officeDocument/2006/relationships/hyperlink" Target="http://www.imperial.ac.uk/news/232698/omicron-largely-evades-immunity-from-" TargetMode="External"/><Relationship Id="rId7" Type="http://schemas.openxmlformats.org/officeDocument/2006/relationships/hyperlink" Target="https://www.cdc.gov/media/releases/2021/s1227-isolation-quarantine-guidance.html?ACSTrackingID=USCDC_2067-DM72880&amp;ACSTrackingLabel=Isolation%20and%20Quarantine%20%20|%20COVID-19&amp;deliveryName=USCDC_2067-DM72880" TargetMode="External"/><Relationship Id="rId12" Type="http://schemas.openxmlformats.org/officeDocument/2006/relationships/hyperlink" Target="https://www.gov.uk/government/publications/covid-19-stay-at-home-guidance/stay-at-home-guidance-for-households-with-possible-coronavirus-covid-19-infection" TargetMode="External"/><Relationship Id="rId17"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5"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33" Type="http://schemas.openxmlformats.org/officeDocument/2006/relationships/hyperlink" Target="https://www.who.int/publications/i/item/contact-tracing-in-the-context-of-covid-19" TargetMode="External"/><Relationship Id="rId38" Type="http://schemas.openxmlformats.org/officeDocument/2006/relationships/hyperlink" Target="http://www.ecdc.europa.eu/en/covid-19/latest-evidence/infection" TargetMode="External"/><Relationship Id="rId46" Type="http://schemas.openxmlformats.org/officeDocument/2006/relationships/hyperlink" Target="http://www.imperial.ac.uk/news/232698/omicron-largely-evades-immunity-from-" TargetMode="External"/><Relationship Id="rId2" Type="http://schemas.openxmlformats.org/officeDocument/2006/relationships/styles" Target="styles.xml"/><Relationship Id="rId16"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0" Type="http://schemas.openxmlformats.org/officeDocument/2006/relationships/hyperlink" Target="https://www.cdc.gov/coronavirus/2019-ncov/hcp/guidance-risk-assesment-hcp.html" TargetMode="External"/><Relationship Id="rId29" Type="http://schemas.openxmlformats.org/officeDocument/2006/relationships/hyperlink" Target="https://www.cdc.gov/coronavirus/2019-ncov/your-health/quarantine-isolation.html" TargetMode="External"/><Relationship Id="rId41" Type="http://schemas.openxmlformats.org/officeDocument/2006/relationships/hyperlink" Target="https://assets.publishing.service.gov.uk/government/uploads/system/uploads/attachment_data/file/1042367/technical_briefing-31-10-december-2021.pdf" TargetMode="External"/><Relationship Id="rId1" Type="http://schemas.openxmlformats.org/officeDocument/2006/relationships/numbering" Target="numbering.xml"/><Relationship Id="rId6" Type="http://schemas.openxmlformats.org/officeDocument/2006/relationships/hyperlink" Target="mailto:kabinet@batut.org.rs" TargetMode="External"/><Relationship Id="rId11" Type="http://schemas.openxmlformats.org/officeDocument/2006/relationships/hyperlink" Target="http://gov.uk/" TargetMode="External"/><Relationship Id="rId24"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32" Type="http://schemas.openxmlformats.org/officeDocument/2006/relationships/hyperlink" Target="https://www.ecdc.europa.eu/sites/default/files/documents/COVID-19-risk-related-to-spread-of-new-SARS-CoV-2-variants-EU-EEA-first-update.pdf" TargetMode="External"/><Relationship Id="rId37" Type="http://schemas.openxmlformats.org/officeDocument/2006/relationships/hyperlink" Target="http://www.ecdc.europa.eu/en/covid-19/latest-evidence/infection" TargetMode="External"/><Relationship Id="rId40" Type="http://schemas.openxmlformats.org/officeDocument/2006/relationships/hyperlink" Target="https://assets.publishing.service.gov.uk/government/uploads/system/uploads/attachment_data/file/1042367/technical_briefing-31-10-december-2021.pdf" TargetMode="External"/><Relationship Id="rId45" Type="http://schemas.openxmlformats.org/officeDocument/2006/relationships/hyperlink" Target="https://assets.publishing.service.gov.uk/government/uploads/system/uploads/attachment_data/file/1044481/Technical-Briefing-31-Dec-2021-Omicron_severity_update.pdf%2019" TargetMode="External"/><Relationship Id="rId5" Type="http://schemas.openxmlformats.org/officeDocument/2006/relationships/hyperlink" Target="http://www.batut.org.rs/" TargetMode="External"/><Relationship Id="rId15"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3" Type="http://schemas.openxmlformats.org/officeDocument/2006/relationships/hyperlink" Target="http://gov.uk/" TargetMode="External"/><Relationship Id="rId28" Type="http://schemas.openxmlformats.org/officeDocument/2006/relationships/hyperlink" Target="https://www.ecdc.europa.eu/sites/default/files/documents/TGU-20211019-1878.pdf" TargetMode="External"/><Relationship Id="rId36" Type="http://schemas.openxmlformats.org/officeDocument/2006/relationships/hyperlink" Target="https://www.batut.org.rs/download/aktuelno/310721.pdf" TargetMode="External"/><Relationship Id="rId49" Type="http://schemas.openxmlformats.org/officeDocument/2006/relationships/theme" Target="theme/theme1.xml"/><Relationship Id="rId10" Type="http://schemas.openxmlformats.org/officeDocument/2006/relationships/hyperlink" Target="https://www.cdc.gov/media/releases/2021/s1227-isolation-quarantine-guidance.html?ACSTrackingID=USCDC_2067-DM72880&amp;ACSTrackingLabel=Isolation%20and%20Quarantine%20%20|%20COVID-19&amp;deliveryName=USCDC_2067-DM72880" TargetMode="External"/><Relationship Id="rId19" Type="http://schemas.openxmlformats.org/officeDocument/2006/relationships/hyperlink" Target="https://www.cdc.gov/coronavirus/2019-ncov/hcp/guidance-risk-assesment-hcp.html" TargetMode="External"/><Relationship Id="rId31" Type="http://schemas.openxmlformats.org/officeDocument/2006/relationships/hyperlink" Target="https://www.ecdc.europa.eu/sites/default/files/documents/COVID-19-risk-related-to-spread-of-new-SARS-CoV-2-variants-EU-EEA-first-update.pdf" TargetMode="External"/><Relationship Id="rId44" Type="http://schemas.openxmlformats.org/officeDocument/2006/relationships/hyperlink" Target="https://assets.publishing.service.gov.uk/government/uploads/system/uploads/attachment_data/file/1044481/Technical-Briefing-31-Dec-2021-Omicron_severity_update.pdf%2019" TargetMode="External"/><Relationship Id="rId4" Type="http://schemas.openxmlformats.org/officeDocument/2006/relationships/webSettings" Target="webSettings.xml"/><Relationship Id="rId9" Type="http://schemas.openxmlformats.org/officeDocument/2006/relationships/hyperlink" Target="https://www.cdc.gov/media/releases/2021/s1227-isolation-quarantine-guidance.html?ACSTrackingID=USCDC_2067-DM72880&amp;ACSTrackingLabel=Isolation%20and%20Quarantine%20%20|%20COVID-19&amp;deliveryName=USCDC_2067-DM72880" TargetMode="External"/><Relationship Id="rId14" Type="http://schemas.openxmlformats.org/officeDocument/2006/relationships/hyperlink" Target="http://gov.uk/" TargetMode="External"/><Relationship Id="rId22" Type="http://schemas.openxmlformats.org/officeDocument/2006/relationships/hyperlink" Target="https://www.cdc.gov/coronavirus/2019-ncov/hcp/guidance-risk-assesment-hcp.html" TargetMode="External"/><Relationship Id="rId27" Type="http://schemas.openxmlformats.org/officeDocument/2006/relationships/hyperlink" Target="https://www.ecdc.europa.eu/sites/default/files/documents/TGU-20211019-1878.pdf" TargetMode="External"/><Relationship Id="rId30" Type="http://schemas.openxmlformats.org/officeDocument/2006/relationships/hyperlink" Target="https://www.ecdc.europa.eu/en/covid-19/prevention-and-control/contact-tracing-covid-19" TargetMode="External"/><Relationship Id="rId35" Type="http://schemas.openxmlformats.org/officeDocument/2006/relationships/hyperlink" Target="https://www.cdc.gov/coronavirus/2019-ncov/science/science-briefs/scientific-brief-options-to-reduce-quarantine.html" TargetMode="External"/><Relationship Id="rId43" Type="http://schemas.openxmlformats.org/officeDocument/2006/relationships/hyperlink" Target="https://www.ecdc.europa.eu/en/covid-19/prevention-and-control/quarantine-and-isolation" TargetMode="External"/><Relationship Id="rId48" Type="http://schemas.openxmlformats.org/officeDocument/2006/relationships/fontTable" Target="fontTable.xml"/><Relationship Id="rId8" Type="http://schemas.openxmlformats.org/officeDocument/2006/relationships/hyperlink" Target="https://www.cdc.gov/media/releases/2021/s1227-isolation-quarantine-guidance.html?ACSTrackingID=USCDC_2067-DM72880&amp;ACSTrackingLabel=Isolation%20and%20Quarantine%20%20|%20COVID-19&amp;deliveryName=USCDC_2067-DM72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3780</Words>
  <Characters>24347</Characters>
  <Application>Microsoft Office Word</Application>
  <DocSecurity>0</DocSecurity>
  <Lines>529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simic_danijela</dc:creator>
  <cp:lastModifiedBy>Zdenka Valent</cp:lastModifiedBy>
  <cp:revision>6</cp:revision>
  <dcterms:created xsi:type="dcterms:W3CDTF">2022-01-20T10:53:00Z</dcterms:created>
  <dcterms:modified xsi:type="dcterms:W3CDTF">2022-01-20T14:02:00Z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2016</vt:lpwstr>
  </property>
  <property fmtid="{D5CDD505-2E9C-101B-9397-08002B2CF9AE}" pid="4" name="LastSaved">
    <vt:filetime>2022-01-20T00:00:00Z</vt:filetime>
  </property>
</Properties>
</file>