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spacing w:before="7"/>
        <w:rPr>
          <w:rFonts w:ascii="Times New Roman" w:eastAsia="Times New Roman" w:hAnsi="Times New Roman" w:cs="Times New Roman"/>
          <w:sz w:val="23"/>
          <w:szCs w:val="23"/>
        </w:rPr>
      </w:pPr>
    </w:p>
    <w:p w:rsidR="00310BB4" w:rsidRDefault="007C5BBA">
      <w:pPr>
        <w:pStyle w:val="Heading1"/>
        <w:spacing w:before="69" w:line="271" w:lineRule="auto"/>
        <w:ind w:left="699" w:right="5540" w:firstLine="11"/>
        <w:jc w:val="center"/>
      </w:pPr>
      <w:r>
        <w:t>Republica Serbia MINISTERUL ÎNVĂȚĂMÂNTULUI,, ȘTIINȚEI ȘI DEZVOLTĂRII TEHNOLOGICE</w:t>
      </w:r>
    </w:p>
    <w:p w:rsidR="00310BB4" w:rsidRDefault="007C5BBA">
      <w:pPr>
        <w:spacing w:line="273" w:lineRule="exact"/>
        <w:ind w:left="813" w:right="5632"/>
        <w:jc w:val="center"/>
        <w:rPr>
          <w:rFonts w:ascii="Times New Roman" w:eastAsia="Times New Roman" w:hAnsi="Times New Roman" w:cs="Times New Roman"/>
          <w:sz w:val="24"/>
          <w:szCs w:val="24"/>
        </w:rPr>
      </w:pPr>
      <w:r>
        <w:rPr>
          <w:rFonts w:ascii="Times New Roman" w:hAnsi="Times New Roman"/>
          <w:color w:val="343B2F"/>
          <w:sz w:val="24"/>
        </w:rPr>
        <w:t xml:space="preserve">Numărul: </w:t>
      </w:r>
      <w:r>
        <w:rPr>
          <w:rFonts w:ascii="Times New Roman" w:hAnsi="Times New Roman"/>
          <w:sz w:val="24"/>
        </w:rPr>
        <w:t>601-03-00033/25/2021-15</w:t>
      </w:r>
    </w:p>
    <w:p w:rsidR="00310BB4" w:rsidRDefault="007C5BBA">
      <w:pPr>
        <w:spacing w:before="36"/>
        <w:ind w:left="781" w:right="5632"/>
        <w:jc w:val="center"/>
        <w:rPr>
          <w:rFonts w:ascii="Times New Roman" w:eastAsia="Times New Roman" w:hAnsi="Times New Roman" w:cs="Times New Roman"/>
          <w:sz w:val="24"/>
          <w:szCs w:val="24"/>
        </w:rPr>
      </w:pPr>
      <w:r>
        <w:rPr>
          <w:rFonts w:ascii="Times New Roman" w:hAnsi="Times New Roman"/>
          <w:color w:val="132318"/>
          <w:sz w:val="24"/>
        </w:rPr>
        <w:t xml:space="preserve">Data: </w:t>
      </w:r>
      <w:r>
        <w:rPr>
          <w:rFonts w:ascii="Times New Roman" w:hAnsi="Times New Roman"/>
          <w:color w:val="213434"/>
          <w:sz w:val="24"/>
        </w:rPr>
        <w:t xml:space="preserve">25.02.2022 </w:t>
      </w:r>
    </w:p>
    <w:p w:rsidR="00310BB4" w:rsidRDefault="007C5BBA">
      <w:pPr>
        <w:spacing w:before="31"/>
        <w:ind w:left="791" w:right="5632"/>
        <w:jc w:val="center"/>
        <w:rPr>
          <w:rFonts w:ascii="Times New Roman" w:eastAsia="Times New Roman" w:hAnsi="Times New Roman" w:cs="Times New Roman"/>
          <w:sz w:val="24"/>
          <w:szCs w:val="24"/>
        </w:rPr>
      </w:pPr>
      <w:proofErr w:type="spellStart"/>
      <w:r>
        <w:rPr>
          <w:rFonts w:ascii="Times New Roman" w:hAnsi="Times New Roman"/>
          <w:sz w:val="24"/>
        </w:rPr>
        <w:t>Nemanjina</w:t>
      </w:r>
      <w:proofErr w:type="spellEnd"/>
      <w:r>
        <w:rPr>
          <w:rFonts w:ascii="Times New Roman" w:hAnsi="Times New Roman"/>
          <w:sz w:val="24"/>
        </w:rPr>
        <w:t xml:space="preserve"> 22 -26</w:t>
      </w:r>
    </w:p>
    <w:p w:rsidR="00310BB4" w:rsidRDefault="00310BB4">
      <w:pPr>
        <w:rPr>
          <w:rFonts w:ascii="Times New Roman" w:eastAsia="Times New Roman" w:hAnsi="Times New Roman" w:cs="Times New Roman"/>
          <w:sz w:val="24"/>
          <w:szCs w:val="24"/>
        </w:rPr>
      </w:pPr>
    </w:p>
    <w:p w:rsidR="00310BB4" w:rsidRDefault="00310BB4">
      <w:pPr>
        <w:spacing w:before="8"/>
        <w:rPr>
          <w:rFonts w:ascii="Times New Roman" w:eastAsia="Times New Roman" w:hAnsi="Times New Roman" w:cs="Times New Roman"/>
          <w:sz w:val="29"/>
          <w:szCs w:val="29"/>
        </w:rPr>
      </w:pPr>
    </w:p>
    <w:p w:rsidR="007C5BBA" w:rsidRDefault="007C5BBA" w:rsidP="007C5BBA">
      <w:pPr>
        <w:spacing w:line="400" w:lineRule="auto"/>
        <w:ind w:left="-142" w:right="2561" w:firstLine="426"/>
        <w:jc w:val="center"/>
        <w:rPr>
          <w:rFonts w:ascii="Times New Roman" w:hAnsi="Times New Roman"/>
          <w:sz w:val="24"/>
        </w:rPr>
      </w:pPr>
      <w:r>
        <w:rPr>
          <w:rFonts w:ascii="Times New Roman" w:hAnsi="Times New Roman"/>
          <w:sz w:val="24"/>
        </w:rPr>
        <w:t xml:space="preserve">ADMINISTRAȚIILOR ȘCOLARE </w:t>
      </w:r>
    </w:p>
    <w:p w:rsidR="007C5BBA" w:rsidRDefault="007C5BBA" w:rsidP="007C5BBA">
      <w:pPr>
        <w:spacing w:line="400" w:lineRule="auto"/>
        <w:ind w:left="-142" w:right="2561" w:firstLine="426"/>
        <w:jc w:val="center"/>
        <w:rPr>
          <w:rFonts w:ascii="Times New Roman" w:eastAsia="Times New Roman" w:hAnsi="Times New Roman" w:cs="Times New Roman"/>
          <w:sz w:val="24"/>
          <w:szCs w:val="24"/>
        </w:rPr>
      </w:pPr>
      <w:r>
        <w:rPr>
          <w:rFonts w:ascii="Times New Roman" w:hAnsi="Times New Roman"/>
          <w:sz w:val="24"/>
        </w:rPr>
        <w:t>Ș</w:t>
      </w:r>
      <w:r>
        <w:rPr>
          <w:rFonts w:ascii="Times New Roman" w:hAnsi="Times New Roman"/>
          <w:sz w:val="24"/>
        </w:rPr>
        <w:t>COLILOR ELEMENTARE ȘI MEDII</w:t>
      </w:r>
      <w:r>
        <w:rPr>
          <w:rFonts w:ascii="Times New Roman" w:eastAsia="Times New Roman" w:hAnsi="Times New Roman" w:cs="Times New Roman"/>
          <w:sz w:val="24"/>
          <w:szCs w:val="24"/>
        </w:rPr>
        <w:t xml:space="preserve"> </w:t>
      </w:r>
    </w:p>
    <w:p w:rsidR="00310BB4" w:rsidRDefault="007C5BBA" w:rsidP="007C5BBA">
      <w:pPr>
        <w:spacing w:line="400" w:lineRule="auto"/>
        <w:ind w:left="-142" w:right="2561" w:firstLine="426"/>
        <w:jc w:val="center"/>
        <w:rPr>
          <w:rFonts w:ascii="Times New Roman" w:eastAsia="Times New Roman" w:hAnsi="Times New Roman" w:cs="Times New Roman"/>
          <w:sz w:val="24"/>
          <w:szCs w:val="24"/>
        </w:rPr>
      </w:pPr>
      <w:r>
        <w:rPr>
          <w:rFonts w:ascii="Times New Roman" w:hAnsi="Times New Roman"/>
          <w:sz w:val="24"/>
        </w:rPr>
        <w:t>UNITĂȚILOR AUTOGUVERNĂRILOR LOCALE</w:t>
      </w:r>
    </w:p>
    <w:p w:rsidR="00310BB4" w:rsidRDefault="00310BB4">
      <w:pPr>
        <w:rPr>
          <w:rFonts w:ascii="Times New Roman" w:eastAsia="Times New Roman" w:hAnsi="Times New Roman" w:cs="Times New Roman"/>
          <w:sz w:val="24"/>
          <w:szCs w:val="24"/>
        </w:rPr>
      </w:pPr>
    </w:p>
    <w:p w:rsidR="00310BB4" w:rsidRDefault="00310BB4">
      <w:pPr>
        <w:spacing w:before="7"/>
        <w:rPr>
          <w:rFonts w:ascii="Times New Roman" w:eastAsia="Times New Roman" w:hAnsi="Times New Roman" w:cs="Times New Roman"/>
          <w:sz w:val="32"/>
          <w:szCs w:val="32"/>
        </w:rPr>
      </w:pPr>
    </w:p>
    <w:p w:rsidR="00310BB4" w:rsidRPr="007C5BBA" w:rsidRDefault="007C5BBA">
      <w:pPr>
        <w:tabs>
          <w:tab w:val="left" w:pos="1702"/>
          <w:tab w:val="left" w:pos="3507"/>
          <w:tab w:val="left" w:pos="4423"/>
          <w:tab w:val="left" w:pos="5148"/>
          <w:tab w:val="left" w:pos="5551"/>
          <w:tab w:val="left" w:pos="6598"/>
          <w:tab w:val="left" w:pos="6929"/>
          <w:tab w:val="left" w:pos="8575"/>
        </w:tabs>
        <w:spacing w:line="247" w:lineRule="auto"/>
        <w:ind w:left="344" w:right="110"/>
        <w:rPr>
          <w:rFonts w:ascii="Times New Roman" w:eastAsia="Times New Roman" w:hAnsi="Times New Roman" w:cs="Times New Roman"/>
        </w:rPr>
      </w:pPr>
      <w:r w:rsidRPr="007C5BBA">
        <w:rPr>
          <w:rFonts w:ascii="Times New Roman" w:hAnsi="Times New Roman"/>
          <w:color w:val="333D31"/>
        </w:rPr>
        <w:t>OBIECTUL:</w:t>
      </w:r>
      <w:r w:rsidRPr="007C5BBA">
        <w:rPr>
          <w:rFonts w:ascii="Times New Roman" w:hAnsi="Times New Roman"/>
          <w:color w:val="333D31"/>
        </w:rPr>
        <w:tab/>
      </w:r>
      <w:r w:rsidRPr="007C5BBA">
        <w:rPr>
          <w:rFonts w:ascii="Times New Roman" w:hAnsi="Times New Roman"/>
        </w:rPr>
        <w:t>Informația despre hotărârea Echipei de monitorizare și coordonare a aplicării măsurilor de prevenire în activitatea școlilor care se referă la modelul de predare stabilit pentru școlile din anumite unități ale autoguvernări locale începând cu 28</w:t>
      </w:r>
      <w:r w:rsidRPr="007C5BBA">
        <w:rPr>
          <w:rFonts w:ascii="Times New Roman" w:hAnsi="Times New Roman"/>
          <w:color w:val="2F3834"/>
        </w:rPr>
        <w:t xml:space="preserve"> </w:t>
      </w:r>
      <w:r w:rsidRPr="007C5BBA">
        <w:rPr>
          <w:rFonts w:ascii="Times New Roman" w:hAnsi="Times New Roman"/>
        </w:rPr>
        <w:t>februarie 2022</w:t>
      </w:r>
      <w:r w:rsidRPr="007C5BBA">
        <w:rPr>
          <w:rFonts w:ascii="Times New Roman" w:hAnsi="Times New Roman"/>
        </w:rPr>
        <w:t>.</w:t>
      </w:r>
    </w:p>
    <w:p w:rsidR="00310BB4" w:rsidRDefault="007C5BBA">
      <w:pPr>
        <w:pStyle w:val="Heading1"/>
        <w:spacing w:before="153"/>
        <w:ind w:left="344" w:right="2561"/>
      </w:pPr>
      <w:r>
        <w:rPr>
          <w:color w:val="21362F"/>
        </w:rPr>
        <w:t>Stimați</w:t>
      </w:r>
    </w:p>
    <w:p w:rsidR="00310BB4" w:rsidRDefault="007C5BBA" w:rsidP="007C5BBA">
      <w:pPr>
        <w:pStyle w:val="BodyText"/>
        <w:tabs>
          <w:tab w:val="left" w:pos="1318"/>
          <w:tab w:val="left" w:pos="2244"/>
          <w:tab w:val="left" w:pos="2993"/>
          <w:tab w:val="left" w:pos="3123"/>
          <w:tab w:val="left" w:pos="4131"/>
          <w:tab w:val="left" w:pos="4596"/>
          <w:tab w:val="left" w:pos="5854"/>
          <w:tab w:val="left" w:pos="6694"/>
          <w:tab w:val="left" w:pos="7759"/>
          <w:tab w:val="left" w:pos="8604"/>
        </w:tabs>
        <w:spacing w:before="189" w:line="280" w:lineRule="auto"/>
        <w:ind w:left="334" w:right="126" w:firstLine="9"/>
        <w:jc w:val="both"/>
      </w:pPr>
      <w:r>
        <w:t>În scopul organizării calitative a activității instructiv-educative în școlile din teritoriul Republicii Serbia în anul școlar 2021/2022</w:t>
      </w:r>
      <w:r>
        <w:rPr>
          <w:color w:val="2D3838"/>
        </w:rPr>
        <w:t xml:space="preserve"> </w:t>
      </w:r>
      <w:r>
        <w:t>având în vedere în special ocrotirea sănătății elevilor și angajaților, prevenirea răspândirii infecției și a bolilor infecțioase, precum și exercitarea drepturilor elevilor la educație, Echipa de monitorizare și coordonare a aplicării măsurilor de preveni</w:t>
      </w:r>
      <w:r>
        <w:t>re în activitatea școlilor, la nivel săptămânal și în baza datelor remise de către școli, stabilește modelul de predare pentru școlile din anumite unități ale autoguvernării locale.</w:t>
      </w:r>
      <w:r>
        <w:rPr>
          <w:color w:val="3A4944"/>
        </w:rPr>
        <w:t xml:space="preserve"> </w:t>
      </w:r>
      <w:r>
        <w:t>Comandamentul comunei, respectiv al orașului pentru situații de urgență pa</w:t>
      </w:r>
      <w:r>
        <w:t>rticipă la acest proces, prin faptul că propune aplicarea modelului potrivit al activității instructiv-educative, prin intermediul administrației școlare compete</w:t>
      </w:r>
      <w:r>
        <w:t>nte.</w:t>
      </w:r>
    </w:p>
    <w:p w:rsidR="00310BB4" w:rsidRDefault="007C5BBA" w:rsidP="007C5BBA">
      <w:pPr>
        <w:pStyle w:val="Heading1"/>
        <w:spacing w:before="149" w:line="268" w:lineRule="auto"/>
        <w:ind w:left="334" w:right="113"/>
        <w:jc w:val="both"/>
      </w:pPr>
      <w:r>
        <w:t>Situația epidemiologică se urmărește în fiecare zi și pe baza indicatorilor și datelor se a</w:t>
      </w:r>
      <w:r>
        <w:t>doptă hotărâri corespunzătoare.</w:t>
      </w:r>
      <w:r>
        <w:rPr>
          <w:color w:val="162A1F"/>
        </w:rPr>
        <w:t xml:space="preserve"> </w:t>
      </w:r>
      <w:r>
        <w:t>Se evidențiază două elemente de bază care reprezintă prioritatea, iar acestea sunt asigurarea exercitării dreptului la educație, respectiv continuitatea și calitatea activității instructiv-educative și păstrarea sănătății el</w:t>
      </w:r>
      <w:r>
        <w:t>evilor și angajaților, respectiv a se asigura ca și în prezent, dar la ce se referă datele menționate, ca activitatea instructiv-educativă de calitate să fie realizată într-un mediu sigur.</w:t>
      </w:r>
    </w:p>
    <w:p w:rsidR="00310BB4" w:rsidRDefault="00310BB4">
      <w:pPr>
        <w:spacing w:line="268" w:lineRule="auto"/>
        <w:jc w:val="both"/>
        <w:sectPr w:rsidR="00310BB4">
          <w:type w:val="continuous"/>
          <w:pgSz w:w="12240" w:h="16860"/>
          <w:pgMar w:top="1600" w:right="1020" w:bottom="280" w:left="1720" w:header="720" w:footer="720" w:gutter="0"/>
          <w:cols w:space="720"/>
        </w:sect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rPr>
          <w:rFonts w:ascii="Times New Roman" w:eastAsia="Times New Roman" w:hAnsi="Times New Roman" w:cs="Times New Roman"/>
          <w:sz w:val="20"/>
          <w:szCs w:val="20"/>
        </w:rPr>
      </w:pPr>
    </w:p>
    <w:p w:rsidR="00310BB4" w:rsidRDefault="00310BB4">
      <w:pPr>
        <w:spacing w:before="10"/>
        <w:rPr>
          <w:rFonts w:ascii="Times New Roman" w:eastAsia="Times New Roman" w:hAnsi="Times New Roman" w:cs="Times New Roman"/>
          <w:sz w:val="19"/>
          <w:szCs w:val="19"/>
        </w:rPr>
      </w:pPr>
    </w:p>
    <w:p w:rsidR="007C5BBA" w:rsidRDefault="007C5BBA">
      <w:pPr>
        <w:pStyle w:val="BodyText"/>
        <w:spacing w:line="276" w:lineRule="auto"/>
        <w:ind w:left="2049" w:right="111" w:hanging="5"/>
        <w:jc w:val="both"/>
        <w:rPr>
          <w:rFonts w:ascii="Cambria" w:hAnsi="Cambria"/>
        </w:rPr>
      </w:pPr>
      <w:r>
        <w:rPr>
          <w:rFonts w:ascii="Cambria" w:hAnsi="Cambria"/>
        </w:rPr>
        <w:t>Echipa de monitorizare și coordonare a aplicării măsurilor de prevenire în activitatea școlilor, la întâlnirea care a avut loc la 25.02.2022</w:t>
      </w:r>
      <w:r>
        <w:rPr>
          <w:rFonts w:ascii="Cambria" w:hAnsi="Cambria"/>
          <w:color w:val="263631"/>
        </w:rPr>
        <w:t xml:space="preserve"> </w:t>
      </w:r>
      <w:r>
        <w:rPr>
          <w:rFonts w:ascii="Cambria" w:hAnsi="Cambria"/>
        </w:rPr>
        <w:t>în conformitate cu instrucțiile profesionale pentru organizarea activității instructiv-educative în școala elementa</w:t>
      </w:r>
      <w:r>
        <w:rPr>
          <w:rFonts w:ascii="Cambria" w:hAnsi="Cambria"/>
        </w:rPr>
        <w:t>ră și medie pentru anul școlar 2021/2022</w:t>
      </w:r>
      <w:r>
        <w:rPr>
          <w:rFonts w:ascii="Cambria" w:hAnsi="Cambria"/>
          <w:color w:val="1D2B2D"/>
        </w:rPr>
        <w:t xml:space="preserve"> </w:t>
      </w:r>
      <w:r>
        <w:rPr>
          <w:rFonts w:ascii="Cambria" w:hAnsi="Cambria"/>
        </w:rPr>
        <w:t xml:space="preserve">a adoptat următoarea </w:t>
      </w:r>
    </w:p>
    <w:p w:rsidR="007C5BBA" w:rsidRDefault="007C5BBA" w:rsidP="007C5BBA">
      <w:pPr>
        <w:pStyle w:val="BodyText"/>
        <w:spacing w:line="276" w:lineRule="auto"/>
        <w:ind w:left="5159" w:right="111" w:firstLine="601"/>
        <w:jc w:val="both"/>
        <w:rPr>
          <w:rFonts w:ascii="Cambria" w:hAnsi="Cambria"/>
        </w:rPr>
      </w:pPr>
    </w:p>
    <w:p w:rsidR="00310BB4" w:rsidRDefault="007C5BBA" w:rsidP="007C5BBA">
      <w:pPr>
        <w:pStyle w:val="BodyText"/>
        <w:spacing w:line="276" w:lineRule="auto"/>
        <w:ind w:left="5159" w:right="111" w:firstLine="601"/>
        <w:jc w:val="both"/>
        <w:rPr>
          <w:rFonts w:ascii="Cambria" w:eastAsia="Cambria" w:hAnsi="Cambria" w:cs="Cambria"/>
        </w:rPr>
      </w:pPr>
      <w:r>
        <w:rPr>
          <w:rFonts w:ascii="Cambria" w:hAnsi="Cambria"/>
        </w:rPr>
        <w:t>H O T Ă R Â R E</w:t>
      </w:r>
    </w:p>
    <w:p w:rsidR="00310BB4" w:rsidRDefault="00310BB4">
      <w:pPr>
        <w:spacing w:before="5"/>
        <w:rPr>
          <w:rFonts w:ascii="Cambria" w:eastAsia="Cambria" w:hAnsi="Cambria" w:cs="Cambria"/>
          <w:sz w:val="18"/>
          <w:szCs w:val="18"/>
        </w:rPr>
      </w:pPr>
    </w:p>
    <w:p w:rsidR="00310BB4" w:rsidRDefault="00310BB4">
      <w:pPr>
        <w:spacing w:line="201" w:lineRule="exact"/>
        <w:ind w:left="5952"/>
        <w:rPr>
          <w:rFonts w:ascii="Cambria" w:eastAsia="Cambria" w:hAnsi="Cambria" w:cs="Cambria"/>
          <w:sz w:val="20"/>
          <w:szCs w:val="20"/>
        </w:rPr>
      </w:pPr>
    </w:p>
    <w:p w:rsidR="00310BB4" w:rsidRPr="007C5BBA" w:rsidRDefault="007C5BBA">
      <w:pPr>
        <w:pStyle w:val="ListParagraph"/>
        <w:numPr>
          <w:ilvl w:val="0"/>
          <w:numId w:val="3"/>
        </w:numPr>
        <w:tabs>
          <w:tab w:val="left" w:pos="2396"/>
        </w:tabs>
        <w:spacing w:before="185" w:line="268" w:lineRule="auto"/>
        <w:ind w:right="104" w:hanging="336"/>
        <w:jc w:val="both"/>
        <w:rPr>
          <w:rFonts w:ascii="Times New Roman" w:eastAsia="Times New Roman" w:hAnsi="Times New Roman" w:cs="Times New Roman"/>
          <w:b/>
          <w:color w:val="1F2D33"/>
          <w:sz w:val="24"/>
          <w:szCs w:val="24"/>
        </w:rPr>
      </w:pPr>
      <w:r w:rsidRPr="007C5BBA">
        <w:rPr>
          <w:rFonts w:ascii="Times New Roman" w:hAnsi="Times New Roman"/>
          <w:b/>
          <w:sz w:val="24"/>
          <w:szCs w:val="24"/>
        </w:rPr>
        <w:t>Toate școlile elementare și medii din Republica Serbia vor aplica de luni 28.</w:t>
      </w:r>
      <w:r w:rsidRPr="007C5BBA">
        <w:rPr>
          <w:rFonts w:ascii="Times New Roman" w:hAnsi="Times New Roman"/>
          <w:b/>
          <w:bCs/>
          <w:color w:val="112328"/>
          <w:sz w:val="24"/>
          <w:szCs w:val="24"/>
        </w:rPr>
        <w:t xml:space="preserve"> </w:t>
      </w:r>
      <w:r w:rsidRPr="007C5BBA">
        <w:rPr>
          <w:rFonts w:ascii="Times New Roman" w:hAnsi="Times New Roman"/>
          <w:b/>
          <w:bCs/>
          <w:sz w:val="24"/>
          <w:szCs w:val="24"/>
        </w:rPr>
        <w:t>februarie 2022</w:t>
      </w:r>
      <w:r>
        <w:rPr>
          <w:rFonts w:ascii="Times New Roman" w:hAnsi="Times New Roman"/>
          <w:b/>
          <w:bCs/>
          <w:color w:val="132323"/>
          <w:sz w:val="24"/>
          <w:szCs w:val="24"/>
        </w:rPr>
        <w:t xml:space="preserve"> </w:t>
      </w:r>
      <w:r w:rsidRPr="007C5BBA">
        <w:rPr>
          <w:rFonts w:ascii="Times New Roman" w:hAnsi="Times New Roman"/>
          <w:b/>
          <w:sz w:val="24"/>
          <w:szCs w:val="24"/>
        </w:rPr>
        <w:t>primul model</w:t>
      </w:r>
      <w:r>
        <w:rPr>
          <w:rFonts w:ascii="Times New Roman" w:hAnsi="Times New Roman"/>
          <w:b/>
          <w:sz w:val="24"/>
          <w:szCs w:val="24"/>
        </w:rPr>
        <w:t xml:space="preserve"> </w:t>
      </w:r>
      <w:r w:rsidRPr="007C5BBA">
        <w:rPr>
          <w:rFonts w:ascii="Times New Roman" w:hAnsi="Times New Roman"/>
          <w:b/>
          <w:sz w:val="24"/>
          <w:szCs w:val="24"/>
        </w:rPr>
        <w:t>de organizare a activității instructiv-educative - realizarea directă a activității</w:t>
      </w:r>
      <w:r>
        <w:rPr>
          <w:rFonts w:ascii="Times New Roman" w:hAnsi="Times New Roman"/>
          <w:b/>
          <w:sz w:val="24"/>
          <w:szCs w:val="24"/>
        </w:rPr>
        <w:t xml:space="preserve"> </w:t>
      </w:r>
      <w:r w:rsidRPr="007C5BBA">
        <w:rPr>
          <w:rFonts w:ascii="Times New Roman" w:hAnsi="Times New Roman"/>
          <w:b/>
          <w:sz w:val="24"/>
          <w:szCs w:val="24"/>
        </w:rPr>
        <w:t>instructiv-educative</w:t>
      </w:r>
    </w:p>
    <w:p w:rsidR="00310BB4" w:rsidRDefault="00310BB4">
      <w:pPr>
        <w:rPr>
          <w:rFonts w:ascii="Times New Roman" w:eastAsia="Times New Roman" w:hAnsi="Times New Roman" w:cs="Times New Roman"/>
          <w:sz w:val="24"/>
          <w:szCs w:val="24"/>
        </w:rPr>
      </w:pPr>
    </w:p>
    <w:p w:rsidR="00310BB4" w:rsidRDefault="007C5BBA">
      <w:pPr>
        <w:spacing w:before="175" w:line="259" w:lineRule="auto"/>
        <w:ind w:left="2040" w:right="115"/>
        <w:jc w:val="both"/>
        <w:rPr>
          <w:rFonts w:ascii="Times New Roman" w:eastAsia="Times New Roman" w:hAnsi="Times New Roman" w:cs="Times New Roman"/>
          <w:sz w:val="25"/>
          <w:szCs w:val="25"/>
        </w:rPr>
      </w:pPr>
      <w:r>
        <w:rPr>
          <w:rFonts w:ascii="Times New Roman" w:hAnsi="Times New Roman"/>
          <w:i/>
          <w:color w:val="263331"/>
          <w:sz w:val="25"/>
        </w:rPr>
        <w:t xml:space="preserve">MENȚIUNEA, </w:t>
      </w:r>
      <w:r>
        <w:rPr>
          <w:rFonts w:ascii="Times New Roman" w:hAnsi="Times New Roman"/>
          <w:sz w:val="25"/>
        </w:rPr>
        <w:t>Când în școala elementară sau medie, din cauza absenței cadrelor didactice infectate/izolate, nu este posibilă organizarea r</w:t>
      </w:r>
      <w:r>
        <w:rPr>
          <w:rFonts w:ascii="Times New Roman" w:hAnsi="Times New Roman"/>
          <w:sz w:val="25"/>
        </w:rPr>
        <w:t xml:space="preserve">ealizării în continuu a activității instructiv-educative directe în modelul stabilit, directorul școlii trebuie să contacteze institutul pentru sănătatea publică competent pentru evaluarea situației epidemiologice și administrația școlară competentă </w:t>
      </w:r>
      <w:r>
        <w:rPr>
          <w:rFonts w:ascii="Times New Roman" w:hAnsi="Times New Roman"/>
          <w:sz w:val="25"/>
        </w:rPr>
        <w:t>în sc</w:t>
      </w:r>
      <w:r>
        <w:rPr>
          <w:rFonts w:ascii="Times New Roman" w:hAnsi="Times New Roman"/>
          <w:sz w:val="25"/>
        </w:rPr>
        <w:t>opul obținerii acordului pentru implementarea predării la distanță pe o perioadă de cel mult cinci zile calendaristice.</w:t>
      </w:r>
      <w:r>
        <w:rPr>
          <w:rFonts w:ascii="Times New Roman" w:hAnsi="Times New Roman"/>
          <w:color w:val="242828"/>
          <w:sz w:val="25"/>
        </w:rPr>
        <w:t xml:space="preserve"> </w:t>
      </w:r>
      <w:r>
        <w:rPr>
          <w:rFonts w:ascii="Times New Roman" w:hAnsi="Times New Roman"/>
          <w:sz w:val="25"/>
        </w:rPr>
        <w:t xml:space="preserve">Pentru acest acord, directorul școlii se poate adresa pentru activitatea școlii în ansamblu, doar pentru un schimb sau pentru o unitate </w:t>
      </w:r>
      <w:r>
        <w:rPr>
          <w:rFonts w:ascii="Times New Roman" w:hAnsi="Times New Roman"/>
          <w:sz w:val="25"/>
        </w:rPr>
        <w:t>organizatorică specială (despărțământ separat) atunci când nu se poate asigura realizarea a cel puțin 40% din orele conform programului.</w:t>
      </w:r>
    </w:p>
    <w:p w:rsidR="00310BB4" w:rsidRDefault="007C5BBA">
      <w:pPr>
        <w:pStyle w:val="Heading1"/>
        <w:numPr>
          <w:ilvl w:val="0"/>
          <w:numId w:val="3"/>
        </w:numPr>
        <w:tabs>
          <w:tab w:val="left" w:pos="2396"/>
        </w:tabs>
        <w:spacing w:before="170" w:line="252" w:lineRule="auto"/>
        <w:ind w:right="109" w:hanging="350"/>
        <w:jc w:val="both"/>
        <w:rPr>
          <w:color w:val="343838"/>
        </w:rPr>
      </w:pPr>
      <w:r>
        <w:t>Activitatea instructiv-educativă în</w:t>
      </w:r>
      <w:r>
        <w:rPr>
          <w:b/>
          <w:u w:val="single"/>
        </w:rPr>
        <w:t xml:space="preserve"> școlile pentru elevii</w:t>
      </w:r>
      <w:r>
        <w:t xml:space="preserve"> cu dizabilități și invaliditate, de </w:t>
      </w:r>
      <w:r>
        <w:rPr>
          <w:b/>
        </w:rPr>
        <w:t>muzică și balet</w:t>
      </w:r>
      <w:r>
        <w:t xml:space="preserve"> , </w:t>
      </w:r>
      <w:r>
        <w:rPr>
          <w:b/>
        </w:rPr>
        <w:t xml:space="preserve">precum </w:t>
      </w:r>
      <w:r>
        <w:rPr>
          <w:b/>
        </w:rPr>
        <w:t xml:space="preserve">și </w:t>
      </w:r>
      <w:r>
        <w:rPr>
          <w:b/>
        </w:rPr>
        <w:t>în școlile</w:t>
      </w:r>
      <w:r>
        <w:t xml:space="preserve"> </w:t>
      </w:r>
      <w:r w:rsidRPr="007C5BBA">
        <w:rPr>
          <w:b/>
        </w:rPr>
        <w:t>pentru educația adulților</w:t>
      </w:r>
      <w:r>
        <w:t>, din cauza specificului său, se efectuează conform hotărâ</w:t>
      </w:r>
      <w:r>
        <w:t xml:space="preserve">rii adoptate anterior a Echipei și în conformitate cu </w:t>
      </w:r>
      <w:r>
        <w:t>instrucțiunile remise din partea Ministerului, cu respectarea nevoilor elevilor și cursanților în cel m</w:t>
      </w:r>
      <w:r>
        <w:t>ai bun interes al acestora.</w:t>
      </w:r>
    </w:p>
    <w:p w:rsidR="00310BB4" w:rsidRDefault="007C5BBA">
      <w:pPr>
        <w:spacing w:before="119" w:line="249" w:lineRule="auto"/>
        <w:ind w:left="2040" w:right="146" w:firstLine="4"/>
        <w:jc w:val="both"/>
        <w:rPr>
          <w:rFonts w:ascii="Times New Roman" w:eastAsia="Times New Roman" w:hAnsi="Times New Roman" w:cs="Times New Roman"/>
          <w:sz w:val="24"/>
          <w:szCs w:val="24"/>
        </w:rPr>
      </w:pPr>
      <w:r>
        <w:rPr>
          <w:rFonts w:ascii="Times New Roman" w:hAnsi="Times New Roman"/>
          <w:sz w:val="24"/>
        </w:rPr>
        <w:t>Hotărârile adoptate ant</w:t>
      </w:r>
      <w:r>
        <w:rPr>
          <w:rFonts w:ascii="Times New Roman" w:hAnsi="Times New Roman"/>
          <w:sz w:val="24"/>
        </w:rPr>
        <w:t>erior rămân în vigoare în continuare pentru organizarea activității instructiv - educative</w:t>
      </w:r>
    </w:p>
    <w:p w:rsidR="00310BB4" w:rsidRDefault="007C5BBA">
      <w:pPr>
        <w:pStyle w:val="ListParagraph"/>
        <w:numPr>
          <w:ilvl w:val="0"/>
          <w:numId w:val="2"/>
        </w:numPr>
        <w:tabs>
          <w:tab w:val="left" w:pos="2391"/>
        </w:tabs>
        <w:spacing w:before="179"/>
        <w:ind w:hanging="355"/>
        <w:jc w:val="both"/>
        <w:rPr>
          <w:rFonts w:ascii="Times New Roman" w:eastAsia="Times New Roman" w:hAnsi="Times New Roman" w:cs="Times New Roman"/>
          <w:sz w:val="23"/>
          <w:szCs w:val="23"/>
        </w:rPr>
      </w:pPr>
      <w:r>
        <w:rPr>
          <w:rFonts w:ascii="Times New Roman" w:hAnsi="Times New Roman"/>
          <w:sz w:val="23"/>
        </w:rPr>
        <w:t>Procedura la apariția cazurilor de infecție la elevi în școli</w:t>
      </w:r>
    </w:p>
    <w:p w:rsidR="00310BB4" w:rsidRDefault="007C5BBA">
      <w:pPr>
        <w:pStyle w:val="Heading1"/>
        <w:spacing w:before="125" w:line="254" w:lineRule="auto"/>
        <w:ind w:right="122"/>
      </w:pPr>
      <w:r>
        <w:t xml:space="preserve">în situațiile când apar cazurile de infecție cu virusul </w:t>
      </w:r>
      <w:proofErr w:type="spellStart"/>
      <w:r>
        <w:t>SARS</w:t>
      </w:r>
      <w:proofErr w:type="spellEnd"/>
      <w:r>
        <w:t>-</w:t>
      </w:r>
      <w:proofErr w:type="spellStart"/>
      <w:r>
        <w:t>CoV</w:t>
      </w:r>
      <w:proofErr w:type="spellEnd"/>
      <w:r>
        <w:t>-2 la elevi, părintele informează școala despre acest fapt.</w:t>
      </w:r>
    </w:p>
    <w:p w:rsidR="00310BB4" w:rsidRDefault="007C5BBA">
      <w:pPr>
        <w:pStyle w:val="BodyText"/>
        <w:spacing w:before="122" w:line="261" w:lineRule="auto"/>
        <w:ind w:left="2395" w:right="122"/>
        <w:rPr>
          <w:rFonts w:ascii="Cambria" w:eastAsia="Cambria" w:hAnsi="Cambria" w:cs="Cambria"/>
        </w:rPr>
      </w:pPr>
      <w:r>
        <w:rPr>
          <w:rFonts w:ascii="Cambria" w:hAnsi="Cambria"/>
        </w:rPr>
        <w:t>Dacă într-un despărțământ apar două sau mai multe cazuri de infecție, directorul școlii organizează activitatea școlii conform următoarelor instrucții:</w:t>
      </w:r>
    </w:p>
    <w:p w:rsidR="00310BB4" w:rsidRDefault="007C5BBA">
      <w:pPr>
        <w:pStyle w:val="ListParagraph"/>
        <w:numPr>
          <w:ilvl w:val="1"/>
          <w:numId w:val="2"/>
        </w:numPr>
        <w:tabs>
          <w:tab w:val="left" w:pos="2943"/>
        </w:tabs>
        <w:spacing w:before="118" w:line="261" w:lineRule="auto"/>
        <w:ind w:right="109" w:firstLine="9"/>
        <w:jc w:val="both"/>
        <w:rPr>
          <w:rFonts w:ascii="Times New Roman" w:eastAsia="Times New Roman" w:hAnsi="Times New Roman" w:cs="Times New Roman"/>
          <w:color w:val="3F3F4D"/>
          <w:sz w:val="23"/>
          <w:szCs w:val="23"/>
        </w:rPr>
      </w:pPr>
      <w:r>
        <w:rPr>
          <w:rFonts w:ascii="Times New Roman" w:hAnsi="Times New Roman"/>
          <w:color w:val="2D2F33"/>
          <w:sz w:val="23"/>
        </w:rPr>
        <w:t xml:space="preserve">1. </w:t>
      </w:r>
      <w:r>
        <w:rPr>
          <w:rFonts w:ascii="Times New Roman" w:hAnsi="Times New Roman"/>
          <w:sz w:val="23"/>
        </w:rPr>
        <w:t>În cazul despărțămintelor cu 16 sau mai puțin elevi, după ce apar trei elevi îmbolnăviți în despărțăm</w:t>
      </w:r>
      <w:r>
        <w:rPr>
          <w:rFonts w:ascii="Times New Roman" w:hAnsi="Times New Roman"/>
          <w:sz w:val="23"/>
        </w:rPr>
        <w:t>ânt trecerea la al treilea model cu o durată de 10 zile calendaristice se ordonă numai pentru acest despărțământ.</w:t>
      </w:r>
    </w:p>
    <w:p w:rsidR="00310BB4" w:rsidRDefault="007C5BBA">
      <w:pPr>
        <w:pStyle w:val="ListParagraph"/>
        <w:numPr>
          <w:ilvl w:val="2"/>
          <w:numId w:val="2"/>
        </w:numPr>
        <w:tabs>
          <w:tab w:val="left" w:pos="3154"/>
        </w:tabs>
        <w:spacing w:before="159" w:line="261" w:lineRule="auto"/>
        <w:ind w:right="116" w:firstLine="14"/>
        <w:jc w:val="both"/>
        <w:rPr>
          <w:rFonts w:ascii="Times New Roman" w:eastAsia="Times New Roman" w:hAnsi="Times New Roman" w:cs="Times New Roman"/>
          <w:color w:val="313634"/>
          <w:sz w:val="23"/>
          <w:szCs w:val="23"/>
        </w:rPr>
      </w:pPr>
      <w:r>
        <w:rPr>
          <w:rFonts w:ascii="Times New Roman" w:hAnsi="Times New Roman"/>
          <w:sz w:val="23"/>
        </w:rPr>
        <w:t>În cazul despărțămintelor cu 17 sau mai mulți elevi, după apari</w:t>
      </w:r>
      <w:r>
        <w:rPr>
          <w:rFonts w:ascii="Times New Roman" w:hAnsi="Times New Roman"/>
          <w:sz w:val="23"/>
        </w:rPr>
        <w:t>ț</w:t>
      </w:r>
      <w:r>
        <w:rPr>
          <w:rFonts w:ascii="Times New Roman" w:hAnsi="Times New Roman"/>
          <w:sz w:val="23"/>
        </w:rPr>
        <w:t>ia de două cazuri, acest despărțământ se divizează în două grupe și își continu</w:t>
      </w:r>
      <w:r>
        <w:rPr>
          <w:rFonts w:ascii="Times New Roman" w:hAnsi="Times New Roman"/>
          <w:sz w:val="23"/>
        </w:rPr>
        <w:t>ă activitatea după al doilea (combinat) model de predare.</w:t>
      </w:r>
      <w:r>
        <w:rPr>
          <w:rFonts w:ascii="Times New Roman" w:hAnsi="Times New Roman"/>
          <w:color w:val="233633"/>
          <w:sz w:val="23"/>
        </w:rPr>
        <w:t xml:space="preserve"> </w:t>
      </w:r>
      <w:r>
        <w:rPr>
          <w:rFonts w:ascii="Times New Roman" w:hAnsi="Times New Roman"/>
          <w:sz w:val="23"/>
        </w:rPr>
        <w:t xml:space="preserve">Apoi la aceste grupe se aplică procedura pentru despărțăminte cu 16 sau mai puțin elevi, respectiv după fiecare trei </w:t>
      </w:r>
      <w:r>
        <w:rPr>
          <w:rFonts w:ascii="Times New Roman" w:hAnsi="Times New Roman"/>
          <w:sz w:val="23"/>
        </w:rPr>
        <w:t>elevi bolnavi noi în grupă trecerea la al treilea model cu o durată de 10 zile c</w:t>
      </w:r>
      <w:r>
        <w:rPr>
          <w:rFonts w:ascii="Times New Roman" w:hAnsi="Times New Roman"/>
          <w:sz w:val="23"/>
        </w:rPr>
        <w:t>alendaristice se or</w:t>
      </w:r>
      <w:r>
        <w:rPr>
          <w:rFonts w:ascii="Times New Roman" w:hAnsi="Times New Roman"/>
          <w:sz w:val="23"/>
        </w:rPr>
        <w:t>donă numai pentru grupa respectivă.</w:t>
      </w:r>
    </w:p>
    <w:p w:rsidR="00310BB4" w:rsidRPr="007C5BBA" w:rsidRDefault="007C5BBA">
      <w:pPr>
        <w:pStyle w:val="Heading1"/>
        <w:numPr>
          <w:ilvl w:val="2"/>
          <w:numId w:val="2"/>
        </w:numPr>
        <w:tabs>
          <w:tab w:val="left" w:pos="3144"/>
        </w:tabs>
        <w:spacing w:before="150" w:line="249" w:lineRule="auto"/>
        <w:ind w:left="2736" w:right="111" w:firstLine="4"/>
        <w:jc w:val="both"/>
        <w:rPr>
          <w:color w:val="2D423D"/>
          <w:sz w:val="22"/>
          <w:szCs w:val="22"/>
        </w:rPr>
      </w:pPr>
      <w:r w:rsidRPr="007C5BBA">
        <w:rPr>
          <w:sz w:val="22"/>
          <w:szCs w:val="22"/>
        </w:rPr>
        <w:t>Dacă prin aplicarea criteriilor anterior reglementate și în continuare există elemente de dezbatere a trecerii la al treilea model de predare al schimbului întreg sau întregii școli, directorul,</w:t>
      </w:r>
    </w:p>
    <w:p w:rsidR="007C5BBA" w:rsidRPr="007C5BBA" w:rsidRDefault="007C5BBA" w:rsidP="007C5BBA">
      <w:pPr>
        <w:pStyle w:val="Heading1"/>
        <w:tabs>
          <w:tab w:val="left" w:pos="3144"/>
        </w:tabs>
        <w:spacing w:before="150" w:line="249" w:lineRule="auto"/>
        <w:ind w:right="111"/>
        <w:rPr>
          <w:sz w:val="22"/>
          <w:szCs w:val="22"/>
        </w:rPr>
      </w:pPr>
    </w:p>
    <w:p w:rsidR="00310BB4" w:rsidRPr="007C5BBA" w:rsidRDefault="00310BB4">
      <w:pPr>
        <w:rPr>
          <w:rFonts w:ascii="Times New Roman" w:eastAsia="Times New Roman" w:hAnsi="Times New Roman" w:cs="Times New Roman"/>
        </w:rPr>
      </w:pPr>
    </w:p>
    <w:p w:rsidR="00310BB4" w:rsidRPr="007C5BBA" w:rsidRDefault="00310BB4">
      <w:pPr>
        <w:spacing w:before="8"/>
        <w:rPr>
          <w:rFonts w:ascii="Times New Roman" w:eastAsia="Times New Roman" w:hAnsi="Times New Roman" w:cs="Times New Roman"/>
        </w:rPr>
      </w:pPr>
    </w:p>
    <w:p w:rsidR="00310BB4" w:rsidRPr="007C5BBA" w:rsidRDefault="007C5BBA">
      <w:pPr>
        <w:pStyle w:val="BodyText"/>
        <w:spacing w:before="70" w:line="264" w:lineRule="auto"/>
        <w:ind w:left="2788" w:right="128" w:firstLine="4"/>
        <w:jc w:val="both"/>
        <w:rPr>
          <w:sz w:val="22"/>
          <w:szCs w:val="22"/>
        </w:rPr>
      </w:pPr>
      <w:r w:rsidRPr="007C5BBA">
        <w:rPr>
          <w:sz w:val="22"/>
          <w:szCs w:val="22"/>
        </w:rPr>
        <w:t>fără amânare, informează administrația școlară competentă și institutul pentru sănătatea publică teritorial competent, care evaluează situația, stabilește riscurile epidemiologice și adoptă hotărârea definitivă despre care informează școala</w:t>
      </w:r>
    </w:p>
    <w:p w:rsidR="00310BB4" w:rsidRDefault="007C5BBA">
      <w:pPr>
        <w:pStyle w:val="ListParagraph"/>
        <w:numPr>
          <w:ilvl w:val="1"/>
          <w:numId w:val="2"/>
        </w:numPr>
        <w:tabs>
          <w:tab w:val="left" w:pos="2444"/>
        </w:tabs>
        <w:spacing w:before="132" w:line="254" w:lineRule="auto"/>
        <w:ind w:left="2424" w:right="127" w:hanging="332"/>
        <w:jc w:val="both"/>
        <w:rPr>
          <w:rFonts w:ascii="Times New Roman" w:eastAsia="Times New Roman" w:hAnsi="Times New Roman" w:cs="Times New Roman"/>
          <w:color w:val="283B2D"/>
          <w:sz w:val="24"/>
          <w:szCs w:val="24"/>
        </w:rPr>
      </w:pPr>
      <w:r>
        <w:rPr>
          <w:rFonts w:ascii="Times New Roman" w:hAnsi="Times New Roman"/>
          <w:sz w:val="24"/>
        </w:rPr>
        <w:t>Datele de monit</w:t>
      </w:r>
      <w:r>
        <w:rPr>
          <w:rFonts w:ascii="Times New Roman" w:hAnsi="Times New Roman"/>
          <w:sz w:val="24"/>
        </w:rPr>
        <w:t>orizare arată asupra existenței cazurilor de elevi cu simptome de infecție respiratorie (tuse</w:t>
      </w:r>
      <w:r>
        <w:rPr>
          <w:rFonts w:ascii="Times New Roman" w:hAnsi="Times New Roman"/>
          <w:sz w:val="24"/>
        </w:rPr>
        <w:t>) chiar și când au cazurile confirmate de infecție în familie, vin la școală, chiar fără să aplice măsurile personale de protecție și prin acest fapt reprezintă un</w:t>
      </w:r>
      <w:r>
        <w:rPr>
          <w:rFonts w:ascii="Times New Roman" w:hAnsi="Times New Roman"/>
          <w:sz w:val="24"/>
        </w:rPr>
        <w:t xml:space="preserve"> risc înalt pentru infectarea persoanelor cu care ajung în contact la școală sau în afara aces</w:t>
      </w:r>
      <w:r>
        <w:rPr>
          <w:rFonts w:ascii="Times New Roman" w:hAnsi="Times New Roman"/>
          <w:sz w:val="24"/>
        </w:rPr>
        <w:t>teia.</w:t>
      </w:r>
      <w:r>
        <w:rPr>
          <w:rFonts w:ascii="Times New Roman" w:hAnsi="Times New Roman"/>
          <w:color w:val="1F2D2A"/>
          <w:sz w:val="24"/>
        </w:rPr>
        <w:t xml:space="preserve"> </w:t>
      </w:r>
      <w:r>
        <w:rPr>
          <w:rFonts w:ascii="Times New Roman" w:hAnsi="Times New Roman"/>
          <w:sz w:val="24"/>
        </w:rPr>
        <w:t>Se recomandă administrațiilor școlilor și profesorilor să apeleze la părinți să nu trimită copii cu simptome la școală până nu trece perioada de izolație, re</w:t>
      </w:r>
      <w:r>
        <w:rPr>
          <w:rFonts w:ascii="Times New Roman" w:hAnsi="Times New Roman"/>
          <w:sz w:val="24"/>
        </w:rPr>
        <w:t>spectiv de carantină în cazul contactelor cazurilor confirmate în familie.</w:t>
      </w:r>
    </w:p>
    <w:p w:rsidR="00310BB4" w:rsidRDefault="00310BB4">
      <w:pPr>
        <w:spacing w:before="9"/>
        <w:rPr>
          <w:rFonts w:ascii="Times New Roman" w:eastAsia="Times New Roman" w:hAnsi="Times New Roman" w:cs="Times New Roman"/>
          <w:b/>
          <w:bCs/>
          <w:sz w:val="24"/>
          <w:szCs w:val="24"/>
        </w:rPr>
      </w:pPr>
    </w:p>
    <w:p w:rsidR="00310BB4" w:rsidRDefault="007C5BBA">
      <w:pPr>
        <w:spacing w:line="252" w:lineRule="auto"/>
        <w:ind w:left="2409" w:right="128" w:firstLine="19"/>
        <w:jc w:val="both"/>
        <w:rPr>
          <w:rFonts w:ascii="Times New Roman" w:eastAsia="Times New Roman" w:hAnsi="Times New Roman" w:cs="Times New Roman"/>
          <w:sz w:val="24"/>
          <w:szCs w:val="24"/>
        </w:rPr>
      </w:pPr>
      <w:r w:rsidRPr="007C5BB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8716" o:spid="_x0000_s1028" type="#_x0000_t75" style="position:absolute;left:0;text-align:left;margin-left:104.15pt;margin-top:3.05pt;width:7.7pt;height:8.15pt;z-index:1120;mso-position-horizontal-relative:page">
            <v:imagedata r:id="rId5" o:title=""/>
            <w10:wrap anchorx="page"/>
          </v:shape>
        </w:pict>
      </w:r>
      <w:r w:rsidRPr="007C5BBA">
        <w:rPr>
          <w:rFonts w:ascii="Times New Roman" w:hAnsi="Times New Roman" w:cs="Times New Roman"/>
        </w:rPr>
        <w:t xml:space="preserve">Având în vedere actuala situație epidemiologică, caracteristicile variantei Omicron a </w:t>
      </w:r>
      <w:proofErr w:type="spellStart"/>
      <w:r w:rsidRPr="007C5BBA">
        <w:rPr>
          <w:rFonts w:ascii="Times New Roman" w:hAnsi="Times New Roman" w:cs="Times New Roman"/>
        </w:rPr>
        <w:t>SARS</w:t>
      </w:r>
      <w:proofErr w:type="spellEnd"/>
      <w:r w:rsidRPr="007C5BBA">
        <w:rPr>
          <w:rFonts w:ascii="Times New Roman" w:hAnsi="Times New Roman" w:cs="Times New Roman"/>
        </w:rPr>
        <w:t>-</w:t>
      </w:r>
      <w:proofErr w:type="spellStart"/>
      <w:r w:rsidRPr="007C5BBA">
        <w:rPr>
          <w:rFonts w:ascii="Times New Roman" w:hAnsi="Times New Roman" w:cs="Times New Roman"/>
        </w:rPr>
        <w:t>CoV</w:t>
      </w:r>
      <w:proofErr w:type="spellEnd"/>
      <w:r w:rsidRPr="007C5BBA">
        <w:rPr>
          <w:rFonts w:ascii="Times New Roman" w:hAnsi="Times New Roman" w:cs="Times New Roman"/>
        </w:rPr>
        <w:t>-2, este obligatorie purt</w:t>
      </w:r>
      <w:r w:rsidRPr="007C5BBA">
        <w:rPr>
          <w:rFonts w:ascii="Times New Roman" w:hAnsi="Times New Roman" w:cs="Times New Roman"/>
        </w:rPr>
        <w:t>area măștilor de protecție pentru toți angajații, elevii și persoanele terțe pentru</w:t>
      </w:r>
      <w:r>
        <w:rPr>
          <w:rFonts w:ascii="Times New Roman" w:hAnsi="Times New Roman" w:cs="Times New Roman"/>
        </w:rPr>
        <w:t xml:space="preserve"> </w:t>
      </w:r>
      <w:r w:rsidRPr="007C5BBA">
        <w:rPr>
          <w:rFonts w:ascii="Times New Roman" w:hAnsi="Times New Roman" w:cs="Times New Roman"/>
        </w:rPr>
        <w:t>într</w:t>
      </w:r>
      <w:r>
        <w:rPr>
          <w:rFonts w:ascii="Times New Roman" w:hAnsi="Times New Roman" w:cs="Times New Roman"/>
        </w:rPr>
        <w:t>e</w:t>
      </w:r>
      <w:r w:rsidRPr="007C5BBA">
        <w:rPr>
          <w:rFonts w:ascii="Times New Roman" w:hAnsi="Times New Roman" w:cs="Times New Roman"/>
        </w:rPr>
        <w:t>aga perioadă de ședere la școală.</w:t>
      </w:r>
      <w:r>
        <w:rPr>
          <w:rFonts w:ascii="Times New Roman" w:hAnsi="Times New Roman"/>
          <w:b/>
          <w:color w:val="031A1F"/>
          <w:sz w:val="24"/>
        </w:rPr>
        <w:t xml:space="preserve"> </w:t>
      </w:r>
      <w:r>
        <w:rPr>
          <w:rFonts w:ascii="Times New Roman" w:hAnsi="Times New Roman"/>
          <w:sz w:val="24"/>
        </w:rPr>
        <w:t>Purtarea măș</w:t>
      </w:r>
      <w:r>
        <w:rPr>
          <w:rFonts w:ascii="Times New Roman" w:hAnsi="Times New Roman"/>
          <w:sz w:val="24"/>
        </w:rPr>
        <w:t>tilor de protecție este obligatorie pentru toți angajații școlii, elevii și persoanele terțe din momentul intrării în curtea școlii până la părăsirea curții școlii.</w:t>
      </w:r>
      <w:r>
        <w:rPr>
          <w:rFonts w:ascii="Times New Roman" w:hAnsi="Times New Roman"/>
          <w:b/>
          <w:color w:val="162B24"/>
          <w:sz w:val="24"/>
        </w:rPr>
        <w:t xml:space="preserve"> </w:t>
      </w:r>
      <w:r>
        <w:rPr>
          <w:rFonts w:ascii="Times New Roman" w:hAnsi="Times New Roman"/>
          <w:sz w:val="24"/>
        </w:rPr>
        <w:t>Este necesară intensificarea măsurilor de igienă personală și generală (spălarea și dezinfe</w:t>
      </w:r>
      <w:r>
        <w:rPr>
          <w:rFonts w:ascii="Times New Roman" w:hAnsi="Times New Roman"/>
          <w:sz w:val="24"/>
        </w:rPr>
        <w:t>ctarea mâinilor), iar îndeosebi a se ține cont de ventilarea cu regularitate și dezinfectarea tuturor încăperilor în care se află elevii și angajații școlii.</w:t>
      </w:r>
    </w:p>
    <w:p w:rsidR="00310BB4" w:rsidRDefault="007C5BBA">
      <w:pPr>
        <w:pStyle w:val="BodyText"/>
        <w:spacing w:before="167" w:line="259" w:lineRule="auto"/>
        <w:ind w:left="2414" w:right="114" w:firstLine="4"/>
        <w:jc w:val="both"/>
        <w:rPr>
          <w:rFonts w:ascii="Cambria" w:eastAsia="Cambria" w:hAnsi="Cambria" w:cs="Cambria"/>
        </w:rPr>
      </w:pPr>
      <w:r>
        <w:rPr>
          <w:rFonts w:ascii="Cambria" w:hAnsi="Cambria"/>
        </w:rPr>
        <w:t>În mod exceptat, pentru elevii care din motive de sănătate nu pot purta măști (de ex.</w:t>
      </w:r>
      <w:r>
        <w:rPr>
          <w:rFonts w:ascii="Cambria" w:hAnsi="Cambria"/>
          <w:color w:val="263636"/>
        </w:rPr>
        <w:t xml:space="preserve"> </w:t>
      </w:r>
      <w:r>
        <w:rPr>
          <w:rFonts w:ascii="Cambria" w:hAnsi="Cambria"/>
        </w:rPr>
        <w:t xml:space="preserve">astm </w:t>
      </w:r>
      <w:proofErr w:type="spellStart"/>
      <w:r>
        <w:rPr>
          <w:rFonts w:ascii="Cambria" w:hAnsi="Cambria"/>
        </w:rPr>
        <w:t>bronșic</w:t>
      </w:r>
      <w:proofErr w:type="spellEnd"/>
      <w:r>
        <w:rPr>
          <w:rFonts w:ascii="Cambria" w:hAnsi="Cambria"/>
        </w:rPr>
        <w:t xml:space="preserve"> sau acolo unde există un alt motiv justificat) despre acest fapt se poate declara orice medic pediatru care cunoaște starea de sănătate a copilului și are acces la documentația medicală.</w:t>
      </w:r>
      <w:r>
        <w:rPr>
          <w:rFonts w:ascii="Cambria" w:hAnsi="Cambria"/>
          <w:color w:val="151F1F"/>
        </w:rPr>
        <w:t xml:space="preserve"> </w:t>
      </w:r>
      <w:r>
        <w:rPr>
          <w:rFonts w:ascii="Cambria" w:hAnsi="Cambria"/>
        </w:rPr>
        <w:t xml:space="preserve">Dacă vreunul dintre elevi este împiedicat să poarte mască în timpul </w:t>
      </w:r>
      <w:r>
        <w:rPr>
          <w:rFonts w:ascii="Cambria" w:hAnsi="Cambria"/>
        </w:rPr>
        <w:t>șederii la școală, este necesar să se țină cont ca toți ceilalți elevi și angajați care împart spațiul de lucru cu acel elev sau care intră în contact strâns în alt mod, să poarte măști pe tot timpul pentru a reduce riscul de infectare.</w:t>
      </w:r>
      <w:r>
        <w:rPr>
          <w:rFonts w:ascii="Cambria" w:hAnsi="Cambria"/>
          <w:color w:val="343D38"/>
        </w:rPr>
        <w:t xml:space="preserve"> </w:t>
      </w:r>
      <w:r>
        <w:rPr>
          <w:rFonts w:ascii="Cambria" w:hAnsi="Cambria"/>
        </w:rPr>
        <w:t>În această situație</w:t>
      </w:r>
      <w:r>
        <w:rPr>
          <w:rFonts w:ascii="Cambria" w:hAnsi="Cambria"/>
        </w:rPr>
        <w:t xml:space="preserve"> este deosebit de important ca școala să asigure măsurile de protecție intensificate și alte măsuri reglementate de protecție.</w:t>
      </w:r>
      <w:r>
        <w:rPr>
          <w:rFonts w:ascii="Cambria" w:hAnsi="Cambria"/>
          <w:color w:val="2F4444"/>
        </w:rPr>
        <w:t xml:space="preserve"> </w:t>
      </w:r>
      <w:r>
        <w:rPr>
          <w:rFonts w:ascii="Cambria" w:hAnsi="Cambria"/>
        </w:rPr>
        <w:t>Această excepție se poate aplica la solicitarea părinților și în exclusivitate cu avizul consultativ al medicului prezentat.</w:t>
      </w:r>
    </w:p>
    <w:p w:rsidR="00310BB4" w:rsidRDefault="007C5BBA">
      <w:pPr>
        <w:pStyle w:val="ListParagraph"/>
        <w:numPr>
          <w:ilvl w:val="0"/>
          <w:numId w:val="1"/>
        </w:numPr>
        <w:tabs>
          <w:tab w:val="left" w:pos="2424"/>
        </w:tabs>
        <w:spacing w:before="140" w:line="252" w:lineRule="auto"/>
        <w:ind w:right="122" w:hanging="336"/>
        <w:jc w:val="both"/>
        <w:rPr>
          <w:rFonts w:ascii="Times New Roman" w:eastAsia="Times New Roman" w:hAnsi="Times New Roman" w:cs="Times New Roman"/>
          <w:color w:val="26342F"/>
          <w:sz w:val="25"/>
          <w:szCs w:val="25"/>
        </w:rPr>
      </w:pPr>
      <w:r>
        <w:rPr>
          <w:rFonts w:ascii="Times New Roman" w:hAnsi="Times New Roman"/>
          <w:sz w:val="24"/>
          <w:szCs w:val="24"/>
        </w:rPr>
        <w:t>În t</w:t>
      </w:r>
      <w:r>
        <w:rPr>
          <w:rFonts w:ascii="Times New Roman" w:hAnsi="Times New Roman"/>
          <w:sz w:val="24"/>
          <w:szCs w:val="24"/>
        </w:rPr>
        <w:t>impul inspecțiilor efectuate, au fost observate riscuri semnificative de infectare a elevilor și angajaților în activitățile lor în afara școlii, facem apel și așteptăm ca elevii și angajații din școli, precum și părinții elevilor, să aplice în mod consecv</w:t>
      </w:r>
      <w:r>
        <w:rPr>
          <w:rFonts w:ascii="Times New Roman" w:hAnsi="Times New Roman"/>
          <w:sz w:val="24"/>
          <w:szCs w:val="24"/>
        </w:rPr>
        <w:t>ent măsuri de protecție personală împotriva infecției atât în ​​școală, cât și în afara școlii..</w:t>
      </w:r>
      <w:r>
        <w:rPr>
          <w:rFonts w:ascii="Times New Roman" w:hAnsi="Times New Roman"/>
          <w:b/>
          <w:bCs/>
          <w:color w:val="132323"/>
          <w:sz w:val="24"/>
          <w:szCs w:val="24"/>
        </w:rPr>
        <w:t xml:space="preserve"> </w:t>
      </w:r>
      <w:r>
        <w:rPr>
          <w:rFonts w:ascii="Times New Roman" w:hAnsi="Times New Roman"/>
          <w:sz w:val="24"/>
          <w:szCs w:val="24"/>
        </w:rPr>
        <w:t xml:space="preserve">Este deosebit de important să se evite adunările în masă în interior și în aer liber, mai ales dacă măsurile de protecție personală prescrise nu sunt aplicate </w:t>
      </w:r>
      <w:r>
        <w:rPr>
          <w:rFonts w:ascii="Times New Roman" w:hAnsi="Times New Roman"/>
          <w:sz w:val="24"/>
          <w:szCs w:val="24"/>
        </w:rPr>
        <w:t>în timpul adunărilor.</w:t>
      </w:r>
    </w:p>
    <w:p w:rsidR="00310BB4" w:rsidRDefault="007C5BBA">
      <w:pPr>
        <w:pStyle w:val="ListParagraph"/>
        <w:numPr>
          <w:ilvl w:val="0"/>
          <w:numId w:val="1"/>
        </w:numPr>
        <w:tabs>
          <w:tab w:val="left" w:pos="2429"/>
        </w:tabs>
        <w:spacing w:before="148" w:line="256" w:lineRule="auto"/>
        <w:ind w:left="2428" w:right="130" w:hanging="355"/>
        <w:jc w:val="both"/>
        <w:rPr>
          <w:rFonts w:ascii="Times New Roman" w:eastAsia="Times New Roman" w:hAnsi="Times New Roman" w:cs="Times New Roman"/>
          <w:color w:val="212D23"/>
          <w:sz w:val="25"/>
          <w:szCs w:val="25"/>
        </w:rPr>
      </w:pPr>
      <w:r>
        <w:rPr>
          <w:rFonts w:ascii="Times New Roman" w:hAnsi="Times New Roman"/>
          <w:color w:val="263D2F"/>
          <w:sz w:val="23"/>
        </w:rPr>
        <w:t>Toate școlile elementare și medii din Republica Serbia sunt obligate să asigure pe deplin implementarea celor cinci măsuri cheie ale strategiei de reducere a riscurilor.</w:t>
      </w:r>
    </w:p>
    <w:p w:rsidR="00310BB4" w:rsidRPr="007C5BBA" w:rsidRDefault="007C5BBA" w:rsidP="007C5BBA">
      <w:pPr>
        <w:pStyle w:val="Heading1"/>
        <w:spacing w:before="155" w:line="254" w:lineRule="auto"/>
        <w:ind w:left="2414" w:right="143" w:firstLine="4"/>
        <w:jc w:val="both"/>
      </w:pPr>
      <w:r>
        <w:pict>
          <v:shape id="256405" o:spid="_x0000_s1027" type="#_x0000_t75" style="position:absolute;left:0;text-align:left;margin-left:103.45pt;margin-top:11.25pt;width:7.7pt;height:8.15pt;z-index:1144;mso-position-horizontal-relative:page">
            <v:imagedata r:id="rId6" o:title=""/>
            <w10:wrap anchorx="page"/>
          </v:shape>
        </w:pict>
      </w:r>
      <w:r>
        <w:t>Hotărârea privind modelele de activitate educativ-instructive care se va aplica în teritoriul Republicii Serbia din 28</w:t>
      </w:r>
      <w:r>
        <w:rPr>
          <w:color w:val="15362A"/>
        </w:rPr>
        <w:t xml:space="preserve"> </w:t>
      </w:r>
      <w:r>
        <w:t>februarie 2022</w:t>
      </w:r>
      <w:r>
        <w:rPr>
          <w:color w:val="1C2626"/>
        </w:rPr>
        <w:t xml:space="preserve"> </w:t>
      </w:r>
      <w:r>
        <w:t>a fost adoptată cu avizul Ministerului Învățământului, Științei și Dezvoltării Tehnologice.</w:t>
      </w:r>
    </w:p>
    <w:p w:rsidR="00310BB4" w:rsidRPr="007C5BBA" w:rsidRDefault="007C5BBA" w:rsidP="007C5BBA">
      <w:pPr>
        <w:pStyle w:val="BodyText"/>
        <w:spacing w:before="70" w:line="242" w:lineRule="auto"/>
        <w:ind w:left="2481" w:right="104" w:hanging="336"/>
        <w:jc w:val="both"/>
      </w:pPr>
      <w:r>
        <w:rPr>
          <w:color w:val="2A3F3F"/>
        </w:rPr>
        <w:t xml:space="preserve">9. </w:t>
      </w:r>
      <w:r>
        <w:t>următ</w:t>
      </w:r>
      <w:r>
        <w:t>oarea întâlnire a Echipei de monitorizare și coordonare aplicării măsurilor de prevenire în activitatea școlilor va avea loc la 3</w:t>
      </w:r>
      <w:r>
        <w:rPr>
          <w:color w:val="2A3431"/>
        </w:rPr>
        <w:t xml:space="preserve"> </w:t>
      </w:r>
      <w:r>
        <w:t>martie 2022</w:t>
      </w:r>
      <w:r>
        <w:rPr>
          <w:color w:val="262F2D"/>
        </w:rPr>
        <w:t xml:space="preserve"> </w:t>
      </w:r>
      <w:r>
        <w:t>când din nou va fi analizată actuala situație epidemiologică pentru adoptarea măsurilor necesare pentru combaterea</w:t>
      </w:r>
      <w:r>
        <w:t xml:space="preserve"> răspândirii epidemiei </w:t>
      </w:r>
      <w:proofErr w:type="spellStart"/>
      <w:r>
        <w:t>SARS</w:t>
      </w:r>
      <w:proofErr w:type="spellEnd"/>
      <w:r>
        <w:t>-</w:t>
      </w:r>
      <w:proofErr w:type="spellStart"/>
      <w:r>
        <w:t>CoV</w:t>
      </w:r>
      <w:proofErr w:type="spellEnd"/>
      <w:r>
        <w:t>-2.</w:t>
      </w:r>
    </w:p>
    <w:p w:rsidR="007C5BBA" w:rsidRDefault="007C5BBA">
      <w:pPr>
        <w:pStyle w:val="BodyText"/>
        <w:ind w:left="2140"/>
      </w:pPr>
      <w:r>
        <w:t>C</w:t>
      </w:r>
      <w:r>
        <w:t>ordial,</w:t>
      </w:r>
    </w:p>
    <w:p w:rsidR="007C5BBA" w:rsidRDefault="007C5BBA" w:rsidP="007C5BBA"/>
    <w:p w:rsidR="00310BB4" w:rsidRDefault="007C5BBA" w:rsidP="007C5BBA">
      <w:pPr>
        <w:tabs>
          <w:tab w:val="left" w:pos="7926"/>
        </w:tabs>
        <w:ind w:left="5040"/>
      </w:pPr>
      <w:r>
        <w:t xml:space="preserve">                                          PRIMUL VICEPREȘEDINTE AL  GUVERNULUI</w:t>
      </w:r>
    </w:p>
    <w:p w:rsidR="007C5BBA" w:rsidRDefault="007C5BBA" w:rsidP="007C5BBA">
      <w:pPr>
        <w:tabs>
          <w:tab w:val="left" w:pos="7926"/>
        </w:tabs>
        <w:ind w:left="5040"/>
      </w:pPr>
      <w:r>
        <w:t xml:space="preserve">                                                             ȘI MINISTRUL</w:t>
      </w:r>
    </w:p>
    <w:p w:rsidR="007C5BBA" w:rsidRPr="007C5BBA" w:rsidRDefault="007C5BBA" w:rsidP="007C5BBA">
      <w:pPr>
        <w:tabs>
          <w:tab w:val="left" w:pos="8690"/>
        </w:tabs>
        <w:rPr>
          <w:lang w:val="sr-Latn-RS"/>
        </w:rPr>
      </w:pPr>
      <w:r>
        <w:t xml:space="preserve">                                                                                                                                                                    </w:t>
      </w:r>
      <w:bookmarkStart w:id="0" w:name="_GoBack"/>
      <w:bookmarkEnd w:id="0"/>
      <w:r>
        <w:rPr>
          <w:lang w:val="sr-Latn-RS"/>
        </w:rPr>
        <w:t>Branko Ružić</w:t>
      </w:r>
    </w:p>
    <w:sectPr w:rsidR="007C5BBA" w:rsidRPr="007C5BBA">
      <w:pgSz w:w="12240" w:h="16860"/>
      <w:pgMar w:top="0" w:right="9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77D9A"/>
    <w:multiLevelType w:val="hybridMultilevel"/>
    <w:tmpl w:val="82D0E796"/>
    <w:lvl w:ilvl="0" w:tplc="222AF736">
      <w:start w:val="6"/>
      <w:numFmt w:val="decimal"/>
      <w:lvlText w:val="%1."/>
      <w:lvlJc w:val="left"/>
      <w:pPr>
        <w:ind w:left="2409" w:hanging="351"/>
        <w:jc w:val="left"/>
      </w:pPr>
      <w:rPr>
        <w:rFonts w:ascii="Times New Roman" w:eastAsia="Times New Roman" w:hAnsi="Times New Roman" w:hint="default"/>
        <w:w w:val="91"/>
      </w:rPr>
    </w:lvl>
    <w:lvl w:ilvl="1" w:tplc="6FB6FEFA">
      <w:start w:val="1"/>
      <w:numFmt w:val="bullet"/>
      <w:lvlText w:val="•"/>
      <w:lvlJc w:val="left"/>
      <w:pPr>
        <w:ind w:left="3284" w:hanging="351"/>
      </w:pPr>
      <w:rPr>
        <w:rFonts w:hint="default"/>
      </w:rPr>
    </w:lvl>
    <w:lvl w:ilvl="2" w:tplc="8234A4E0">
      <w:start w:val="1"/>
      <w:numFmt w:val="bullet"/>
      <w:lvlText w:val="•"/>
      <w:lvlJc w:val="left"/>
      <w:pPr>
        <w:ind w:left="4168" w:hanging="351"/>
      </w:pPr>
      <w:rPr>
        <w:rFonts w:hint="default"/>
      </w:rPr>
    </w:lvl>
    <w:lvl w:ilvl="3" w:tplc="B00C2F84">
      <w:start w:val="1"/>
      <w:numFmt w:val="bullet"/>
      <w:lvlText w:val="•"/>
      <w:lvlJc w:val="left"/>
      <w:pPr>
        <w:ind w:left="5052" w:hanging="351"/>
      </w:pPr>
      <w:rPr>
        <w:rFonts w:hint="default"/>
      </w:rPr>
    </w:lvl>
    <w:lvl w:ilvl="4" w:tplc="34BC659A">
      <w:start w:val="1"/>
      <w:numFmt w:val="bullet"/>
      <w:lvlText w:val="•"/>
      <w:lvlJc w:val="left"/>
      <w:pPr>
        <w:ind w:left="5936" w:hanging="351"/>
      </w:pPr>
      <w:rPr>
        <w:rFonts w:hint="default"/>
      </w:rPr>
    </w:lvl>
    <w:lvl w:ilvl="5" w:tplc="5470CDB4">
      <w:start w:val="1"/>
      <w:numFmt w:val="bullet"/>
      <w:lvlText w:val="•"/>
      <w:lvlJc w:val="left"/>
      <w:pPr>
        <w:ind w:left="6820" w:hanging="351"/>
      </w:pPr>
      <w:rPr>
        <w:rFonts w:hint="default"/>
      </w:rPr>
    </w:lvl>
    <w:lvl w:ilvl="6" w:tplc="2BFE257A">
      <w:start w:val="1"/>
      <w:numFmt w:val="bullet"/>
      <w:lvlText w:val="•"/>
      <w:lvlJc w:val="left"/>
      <w:pPr>
        <w:ind w:left="7704" w:hanging="351"/>
      </w:pPr>
      <w:rPr>
        <w:rFonts w:hint="default"/>
      </w:rPr>
    </w:lvl>
    <w:lvl w:ilvl="7" w:tplc="1CE4A3D2">
      <w:start w:val="1"/>
      <w:numFmt w:val="bullet"/>
      <w:lvlText w:val="•"/>
      <w:lvlJc w:val="left"/>
      <w:pPr>
        <w:ind w:left="8588" w:hanging="351"/>
      </w:pPr>
      <w:rPr>
        <w:rFonts w:hint="default"/>
      </w:rPr>
    </w:lvl>
    <w:lvl w:ilvl="8" w:tplc="2CBEFEDA">
      <w:start w:val="1"/>
      <w:numFmt w:val="bullet"/>
      <w:lvlText w:val="•"/>
      <w:lvlJc w:val="left"/>
      <w:pPr>
        <w:ind w:left="9472" w:hanging="351"/>
      </w:pPr>
      <w:rPr>
        <w:rFonts w:hint="default"/>
      </w:rPr>
    </w:lvl>
  </w:abstractNum>
  <w:abstractNum w:abstractNumId="1" w15:restartNumberingAfterBreak="0">
    <w:nsid w:val="3D6C22E9"/>
    <w:multiLevelType w:val="multilevel"/>
    <w:tmpl w:val="51D4A5D4"/>
    <w:lvl w:ilvl="0">
      <w:start w:val="3"/>
      <w:numFmt w:val="decimal"/>
      <w:lvlText w:val="%1."/>
      <w:lvlJc w:val="left"/>
      <w:pPr>
        <w:ind w:left="2390" w:hanging="356"/>
        <w:jc w:val="left"/>
      </w:pPr>
      <w:rPr>
        <w:rFonts w:ascii="Times New Roman" w:eastAsia="Times New Roman" w:hAnsi="Times New Roman" w:hint="default"/>
        <w:b/>
        <w:bCs/>
        <w:color w:val="1C2F2D"/>
        <w:w w:val="94"/>
        <w:sz w:val="23"/>
        <w:szCs w:val="23"/>
      </w:rPr>
    </w:lvl>
    <w:lvl w:ilvl="1">
      <w:start w:val="3"/>
      <w:numFmt w:val="decimal"/>
      <w:lvlText w:val="%2."/>
      <w:lvlJc w:val="left"/>
      <w:pPr>
        <w:ind w:left="2731" w:hanging="202"/>
        <w:jc w:val="right"/>
      </w:pPr>
      <w:rPr>
        <w:rFonts w:ascii="Times New Roman" w:eastAsia="Times New Roman" w:hAnsi="Times New Roman" w:hint="default"/>
        <w:w w:val="95"/>
      </w:rPr>
    </w:lvl>
    <w:lvl w:ilvl="2">
      <w:start w:val="2"/>
      <w:numFmt w:val="decimal"/>
      <w:lvlText w:val="%2.%3."/>
      <w:lvlJc w:val="left"/>
      <w:pPr>
        <w:ind w:left="2731" w:hanging="408"/>
        <w:jc w:val="left"/>
      </w:pPr>
      <w:rPr>
        <w:rFonts w:ascii="Times New Roman" w:eastAsia="Times New Roman" w:hAnsi="Times New Roman" w:hint="default"/>
        <w:w w:val="96"/>
      </w:rPr>
    </w:lvl>
    <w:lvl w:ilvl="3">
      <w:start w:val="1"/>
      <w:numFmt w:val="bullet"/>
      <w:lvlText w:val="•"/>
      <w:lvlJc w:val="left"/>
      <w:pPr>
        <w:ind w:left="4620" w:hanging="408"/>
      </w:pPr>
      <w:rPr>
        <w:rFonts w:hint="default"/>
      </w:rPr>
    </w:lvl>
    <w:lvl w:ilvl="4">
      <w:start w:val="1"/>
      <w:numFmt w:val="bullet"/>
      <w:lvlText w:val="•"/>
      <w:lvlJc w:val="left"/>
      <w:pPr>
        <w:ind w:left="5560" w:hanging="408"/>
      </w:pPr>
      <w:rPr>
        <w:rFonts w:hint="default"/>
      </w:rPr>
    </w:lvl>
    <w:lvl w:ilvl="5">
      <w:start w:val="1"/>
      <w:numFmt w:val="bullet"/>
      <w:lvlText w:val="•"/>
      <w:lvlJc w:val="left"/>
      <w:pPr>
        <w:ind w:left="6500" w:hanging="408"/>
      </w:pPr>
      <w:rPr>
        <w:rFonts w:hint="default"/>
      </w:rPr>
    </w:lvl>
    <w:lvl w:ilvl="6">
      <w:start w:val="1"/>
      <w:numFmt w:val="bullet"/>
      <w:lvlText w:val="•"/>
      <w:lvlJc w:val="left"/>
      <w:pPr>
        <w:ind w:left="7440" w:hanging="408"/>
      </w:pPr>
      <w:rPr>
        <w:rFonts w:hint="default"/>
      </w:rPr>
    </w:lvl>
    <w:lvl w:ilvl="7">
      <w:start w:val="1"/>
      <w:numFmt w:val="bullet"/>
      <w:lvlText w:val="•"/>
      <w:lvlJc w:val="left"/>
      <w:pPr>
        <w:ind w:left="8380" w:hanging="408"/>
      </w:pPr>
      <w:rPr>
        <w:rFonts w:hint="default"/>
      </w:rPr>
    </w:lvl>
    <w:lvl w:ilvl="8">
      <w:start w:val="1"/>
      <w:numFmt w:val="bullet"/>
      <w:lvlText w:val="•"/>
      <w:lvlJc w:val="left"/>
      <w:pPr>
        <w:ind w:left="9320" w:hanging="408"/>
      </w:pPr>
      <w:rPr>
        <w:rFonts w:hint="default"/>
      </w:rPr>
    </w:lvl>
  </w:abstractNum>
  <w:abstractNum w:abstractNumId="2" w15:restartNumberingAfterBreak="0">
    <w:nsid w:val="45B020FB"/>
    <w:multiLevelType w:val="hybridMultilevel"/>
    <w:tmpl w:val="EFAACB26"/>
    <w:lvl w:ilvl="0" w:tplc="0986CA14">
      <w:start w:val="1"/>
      <w:numFmt w:val="decimal"/>
      <w:lvlText w:val="%1."/>
      <w:lvlJc w:val="left"/>
      <w:pPr>
        <w:ind w:left="2390" w:hanging="341"/>
        <w:jc w:val="left"/>
      </w:pPr>
      <w:rPr>
        <w:rFonts w:ascii="Times New Roman" w:eastAsia="Times New Roman" w:hAnsi="Times New Roman" w:hint="default"/>
        <w:w w:val="96"/>
      </w:rPr>
    </w:lvl>
    <w:lvl w:ilvl="1" w:tplc="0F3CD9DA">
      <w:start w:val="1"/>
      <w:numFmt w:val="bullet"/>
      <w:lvlText w:val="•"/>
      <w:lvlJc w:val="left"/>
      <w:pPr>
        <w:ind w:left="3280" w:hanging="341"/>
      </w:pPr>
      <w:rPr>
        <w:rFonts w:hint="default"/>
      </w:rPr>
    </w:lvl>
    <w:lvl w:ilvl="2" w:tplc="3E1E60AA">
      <w:start w:val="1"/>
      <w:numFmt w:val="bullet"/>
      <w:lvlText w:val="•"/>
      <w:lvlJc w:val="left"/>
      <w:pPr>
        <w:ind w:left="4160" w:hanging="341"/>
      </w:pPr>
      <w:rPr>
        <w:rFonts w:hint="default"/>
      </w:rPr>
    </w:lvl>
    <w:lvl w:ilvl="3" w:tplc="F670E57A">
      <w:start w:val="1"/>
      <w:numFmt w:val="bullet"/>
      <w:lvlText w:val="•"/>
      <w:lvlJc w:val="left"/>
      <w:pPr>
        <w:ind w:left="5040" w:hanging="341"/>
      </w:pPr>
      <w:rPr>
        <w:rFonts w:hint="default"/>
      </w:rPr>
    </w:lvl>
    <w:lvl w:ilvl="4" w:tplc="1690F0FA">
      <w:start w:val="1"/>
      <w:numFmt w:val="bullet"/>
      <w:lvlText w:val="•"/>
      <w:lvlJc w:val="left"/>
      <w:pPr>
        <w:ind w:left="5920" w:hanging="341"/>
      </w:pPr>
      <w:rPr>
        <w:rFonts w:hint="default"/>
      </w:rPr>
    </w:lvl>
    <w:lvl w:ilvl="5" w:tplc="6BA40B3A">
      <w:start w:val="1"/>
      <w:numFmt w:val="bullet"/>
      <w:lvlText w:val="•"/>
      <w:lvlJc w:val="left"/>
      <w:pPr>
        <w:ind w:left="6800" w:hanging="341"/>
      </w:pPr>
      <w:rPr>
        <w:rFonts w:hint="default"/>
      </w:rPr>
    </w:lvl>
    <w:lvl w:ilvl="6" w:tplc="22AA33D4">
      <w:start w:val="1"/>
      <w:numFmt w:val="bullet"/>
      <w:lvlText w:val="•"/>
      <w:lvlJc w:val="left"/>
      <w:pPr>
        <w:ind w:left="7680" w:hanging="341"/>
      </w:pPr>
      <w:rPr>
        <w:rFonts w:hint="default"/>
      </w:rPr>
    </w:lvl>
    <w:lvl w:ilvl="7" w:tplc="C812164E">
      <w:start w:val="1"/>
      <w:numFmt w:val="bullet"/>
      <w:lvlText w:val="•"/>
      <w:lvlJc w:val="left"/>
      <w:pPr>
        <w:ind w:left="8560" w:hanging="341"/>
      </w:pPr>
      <w:rPr>
        <w:rFonts w:hint="default"/>
      </w:rPr>
    </w:lvl>
    <w:lvl w:ilvl="8" w:tplc="0494F1A2">
      <w:start w:val="1"/>
      <w:numFmt w:val="bullet"/>
      <w:lvlText w:val="•"/>
      <w:lvlJc w:val="left"/>
      <w:pPr>
        <w:ind w:left="9440" w:hanging="341"/>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310BB4"/>
    <w:rsid w:val="00310BB4"/>
    <w:rsid w:val="007C5B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0695B3"/>
  <w15:docId w15:val="{E08A750D-9381-4B87-BDC2-CD6DFDDA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39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31"/>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1327</Words>
  <Characters>7570</Characters>
  <Application>Microsoft Office Word</Application>
  <DocSecurity>0</DocSecurity>
  <Lines>63</Lines>
  <Paragraphs>17</Paragraphs>
  <ScaleCrop>false</ScaleCrop>
  <Company>Uprava za zajednicke poslove pokrajinskih organa</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Vladimir Mitrovic</cp:lastModifiedBy>
  <cp:revision>2</cp:revision>
  <dcterms:created xsi:type="dcterms:W3CDTF">2022-02-25T10:13:00Z</dcterms:created>
  <dcterms:modified xsi:type="dcterms:W3CDTF">2022-02-25T10:04:00Z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LastSaved">
    <vt:filetime>2022-02-25T00:00:00Z</vt:filetime>
  </property>
</Properties>
</file>