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Pr="00DF296A" w:rsidRDefault="00F42FAE" w:rsidP="00F42FAE">
      <w:pPr>
        <w:spacing w:after="120" w:line="280" w:lineRule="exact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ab/>
        <w:t>Podľa článku 37 odsek 12 Pokrajinského parlamentného uznesenia o pokrajinskej správe (Úradný vestník číslo: 37/20</w:t>
      </w:r>
      <w:r w:rsidR="00C103BA">
        <w:rPr>
          <w:rFonts w:ascii="Verdana" w:hAnsi="Verdana"/>
          <w:sz w:val="18"/>
          <w:szCs w:val="18"/>
        </w:rPr>
        <w:t>14/54/ 2007,104/2016 a 29/2017)</w:t>
      </w:r>
      <w:r>
        <w:rPr>
          <w:rFonts w:ascii="Verdana" w:hAnsi="Verdana"/>
          <w:sz w:val="18"/>
          <w:szCs w:val="18"/>
        </w:rPr>
        <w:t>,v súlade s článkom 79   Zákona o určení príslušností Autonómnej pokrajiny Vojvodiny (vestník Službeni glasnik RS číslo 99/2009, 67/2012 – Uznesenie Ústavného súdu Srbskej republiky IUz – 353/2009) a článkom 2 odsek 2  Pravidiel o stálych súdnych tlmočníkoch (vestník Službeni glasnik RS číslo 35/2010, 80/2016 a 7/2017),  pokrajinský tajomník</w:t>
      </w:r>
      <w:r w:rsidR="00E363A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vzdelávania, predpisov, správy a národnostných menšín - národnostných spoločenstiev vypísal</w:t>
      </w: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OZNAM</w:t>
      </w:r>
    </w:p>
    <w:p w:rsidR="00C10BAB" w:rsidRDefault="00C10BAB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NA DOSADENIE STÁLYCH SÚDNYCH PREKLADATEĽOV </w:t>
      </w:r>
    </w:p>
    <w:p w:rsidR="00FF0F75" w:rsidRPr="00DF296A" w:rsidRDefault="00102B95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SÁLYCH SÚDNYCH TLMOČNÍKOV ZNAKOV NEVIDIACICH, NEPOČUJÚCICH ALEBO NEMÝCH OS</w:t>
      </w:r>
      <w:r w:rsidR="00C103BA">
        <w:rPr>
          <w:rFonts w:ascii="Verdana" w:hAnsi="Verdana"/>
          <w:b/>
          <w:sz w:val="18"/>
          <w:szCs w:val="18"/>
        </w:rPr>
        <w:t>Ô</w:t>
      </w:r>
      <w:r>
        <w:rPr>
          <w:rFonts w:ascii="Verdana" w:hAnsi="Verdana"/>
          <w:b/>
          <w:sz w:val="18"/>
          <w:szCs w:val="18"/>
        </w:rPr>
        <w:t xml:space="preserve">B  </w:t>
      </w:r>
    </w:p>
    <w:p w:rsidR="009B4382" w:rsidRPr="00DF296A" w:rsidRDefault="009B4382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 OBVODY VYŠŠÍCH SÚDOV NA ÚZEMÍ AUTONÓMNEJ POKRAJINY VOJVODINY</w:t>
      </w:r>
    </w:p>
    <w:p w:rsidR="00FF0F75" w:rsidRPr="00DF296A" w:rsidRDefault="00FF0F75" w:rsidP="00FF0F75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I.</w:t>
      </w:r>
    </w:p>
    <w:p w:rsidR="009B4382" w:rsidRPr="00DF296A" w:rsidRDefault="00705C79" w:rsidP="00705C79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Vypisuje sa oznam na dosadenie stálych súdnych prekladateľov a stálych súdnych tlmočníkov znakov nevidiacich, nepočujúcich alebo nemých osôb pre  nasledujúce obvody: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Vyššieho súdu v Novom Sade pre:</w:t>
      </w:r>
    </w:p>
    <w:p w:rsidR="002C15D9" w:rsidRDefault="009907C5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japonský jazyk– 1; dánsky jazyk – 1; holandský jazyk – 1; arménsky jazyk -1, nemecký jazyk – 1; taliansky jazyk – 1; slovenský jazyk – 1; francúzsky jazyk – 1.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Vyššieho súdu v Zreňanin</w:t>
      </w:r>
      <w:r w:rsidR="00C103BA">
        <w:rPr>
          <w:rFonts w:ascii="Verdana" w:hAnsi="Verdana"/>
          <w:b/>
          <w:color w:val="000000"/>
          <w:sz w:val="18"/>
          <w:szCs w:val="18"/>
        </w:rPr>
        <w:t>e</w:t>
      </w:r>
      <w:r>
        <w:rPr>
          <w:rFonts w:ascii="Verdana" w:hAnsi="Verdana"/>
          <w:b/>
          <w:color w:val="000000"/>
          <w:sz w:val="18"/>
          <w:szCs w:val="18"/>
        </w:rPr>
        <w:t xml:space="preserve"> pre:</w:t>
      </w:r>
    </w:p>
    <w:p w:rsidR="002C15D9" w:rsidRDefault="00C103BA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</w:t>
      </w:r>
      <w:r w:rsidR="00EA180B">
        <w:rPr>
          <w:rFonts w:ascii="Verdana" w:hAnsi="Verdana"/>
          <w:color w:val="000000"/>
          <w:sz w:val="18"/>
          <w:szCs w:val="18"/>
        </w:rPr>
        <w:t>emecký jazyk – 2;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EA180B">
        <w:rPr>
          <w:rFonts w:ascii="Verdana" w:hAnsi="Verdana"/>
          <w:color w:val="000000"/>
          <w:sz w:val="18"/>
          <w:szCs w:val="18"/>
        </w:rPr>
        <w:t>rómsky jazyk  -2; arabský jazyk  – 2; maďarský jazyk – 1; rumunský jazyk  – 1; slovenský jazyk  – 1; macedónsky jazyk  – 1; grécky jazyk  – 1; bulharský jazyk  – 1; čínsky jazyk  – 1; albánsky jazyk – 1; dánsky jazyk  – 1; turecký jazyk  – 1; český jazyk – 1; ukrajinský jazyk – 1; švédsky jazyk – 1; chorvátsky jazyk  – 1: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Vyššieho súdu v Sriemskej Mitrovici pre:</w:t>
      </w:r>
    </w:p>
    <w:p w:rsidR="00B6502A" w:rsidRPr="00DF296A" w:rsidRDefault="00E330FA" w:rsidP="00B6502A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turecký jazyk – 2; francúzsky jazyk – 1; paštunský jazyk – 1; faerský jazyk – 1; ruský jazyk - 1.</w:t>
      </w:r>
    </w:p>
    <w:p w:rsidR="009B4382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Vyššieho súdu v Subotic</w:t>
      </w:r>
      <w:r w:rsidR="00B6387F">
        <w:rPr>
          <w:rFonts w:ascii="Verdana" w:hAnsi="Verdana"/>
          <w:b/>
          <w:color w:val="000000"/>
          <w:sz w:val="18"/>
          <w:szCs w:val="18"/>
        </w:rPr>
        <w:t>i</w:t>
      </w:r>
      <w:r>
        <w:rPr>
          <w:rFonts w:ascii="Verdana" w:hAnsi="Verdana"/>
          <w:b/>
          <w:color w:val="000000"/>
          <w:sz w:val="18"/>
          <w:szCs w:val="18"/>
        </w:rPr>
        <w:t xml:space="preserve"> pre:</w:t>
      </w:r>
    </w:p>
    <w:p w:rsidR="00572E3D" w:rsidRPr="00572E3D" w:rsidRDefault="00572E3D" w:rsidP="00572E3D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nemecký jazyk – 2; francúzsky jazyk – 1; taliansky jazyk – 1; španielsky jazyk– 1; bulharský jazyk – 1; rumunský jazyk– 1; faerský jazyk – 1; turecký jazyk– 1; albánsky jazyk– 1; slovenský jazyk – 1; poľský jazyk – 1; grécky jazyk – 1; posunková reč – 1.</w:t>
      </w:r>
    </w:p>
    <w:p w:rsidR="009B4382" w:rsidRPr="00DF296A" w:rsidRDefault="009B4382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Vyššieho súdu v Pančev</w:t>
      </w:r>
      <w:r w:rsidR="00B6387F">
        <w:rPr>
          <w:rFonts w:ascii="Verdana" w:hAnsi="Verdana"/>
          <w:b/>
          <w:color w:val="000000"/>
          <w:sz w:val="18"/>
          <w:szCs w:val="18"/>
        </w:rPr>
        <w:t>e</w:t>
      </w:r>
      <w:r>
        <w:rPr>
          <w:rFonts w:ascii="Verdana" w:hAnsi="Verdana"/>
          <w:b/>
          <w:color w:val="000000"/>
          <w:sz w:val="18"/>
          <w:szCs w:val="18"/>
        </w:rPr>
        <w:t xml:space="preserve"> pre:</w:t>
      </w:r>
    </w:p>
    <w:p w:rsidR="000C3514" w:rsidRPr="00DF296A" w:rsidRDefault="00572E3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bulharský jazyk – 1; rusínsky jazyk – 1; arménsky jazyk – 1, rumunský jazyk – 1; posunková reč – 2.</w:t>
      </w:r>
    </w:p>
    <w:p w:rsidR="009B4382" w:rsidRPr="00DF296A" w:rsidRDefault="000C3514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Vyššieho súdu v Sombor</w:t>
      </w:r>
      <w:r w:rsidR="00B6387F">
        <w:rPr>
          <w:rFonts w:ascii="Verdana" w:hAnsi="Verdana"/>
          <w:b/>
          <w:color w:val="000000"/>
          <w:sz w:val="18"/>
          <w:szCs w:val="18"/>
        </w:rPr>
        <w:t>e</w:t>
      </w:r>
      <w:r>
        <w:rPr>
          <w:rFonts w:ascii="Verdana" w:hAnsi="Verdana"/>
          <w:b/>
          <w:color w:val="000000"/>
          <w:sz w:val="18"/>
          <w:szCs w:val="18"/>
        </w:rPr>
        <w:t xml:space="preserve"> pre:</w:t>
      </w:r>
    </w:p>
    <w:p w:rsidR="003160FA" w:rsidRPr="00572E3D" w:rsidRDefault="00572E3D" w:rsidP="00572E3D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rusínsky jazyk – 1; maďarský jazyk – 1; bulharský jazyk – 1; francúzsky jazyk – 1;macedónsky jazyk - 1; posunková reč – 3.</w:t>
      </w: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II.</w:t>
      </w:r>
    </w:p>
    <w:p w:rsidR="009B4382" w:rsidRDefault="009B4382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 xml:space="preserve">Kandidát na stáleho súdneho prekladateľa alebo stáleho súdneho tlmočníka znakov nevidiacich, nepočujúcich alebo nemých osôb (ďalej: </w:t>
      </w:r>
      <w:r w:rsidR="00B6387F">
        <w:rPr>
          <w:rFonts w:ascii="Verdana" w:hAnsi="Verdana"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>andidát) môže byť osoba, ktorá spĺňa nasledujúce všeobecné a osobitné podmienky, ktoré preukazuje spôsobom stanoveným oznamom.</w:t>
      </w:r>
    </w:p>
    <w:p w:rsidR="00590D70" w:rsidRPr="00590D70" w:rsidRDefault="00590D70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</w:p>
    <w:p w:rsidR="009B4382" w:rsidRPr="00DF296A" w:rsidRDefault="009B4382" w:rsidP="00F42FAE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Všeobecné podmienky pre kandidátov</w:t>
      </w:r>
    </w:p>
    <w:p w:rsidR="00DE08AF" w:rsidRPr="003E1741" w:rsidRDefault="00DE08AF" w:rsidP="003E1741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že je osoba </w:t>
      </w:r>
      <w:r w:rsidR="00B6387F">
        <w:rPr>
          <w:rFonts w:ascii="Verdana" w:hAnsi="Verdana"/>
          <w:color w:val="000000"/>
          <w:sz w:val="18"/>
          <w:szCs w:val="18"/>
        </w:rPr>
        <w:t xml:space="preserve">plnoletá </w:t>
      </w:r>
      <w:r>
        <w:rPr>
          <w:rFonts w:ascii="Verdana" w:hAnsi="Verdana"/>
          <w:color w:val="000000"/>
          <w:sz w:val="18"/>
          <w:szCs w:val="18"/>
        </w:rPr>
        <w:t>a má bydlisko na území AP Vojvodiny</w:t>
      </w:r>
    </w:p>
    <w:p w:rsidR="009B4382" w:rsidRPr="00B11089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splnenie podmienok preukazuje osobný preukazom (</w:t>
      </w:r>
      <w:r w:rsidR="00B6387F">
        <w:rPr>
          <w:rFonts w:ascii="Verdana" w:hAnsi="Verdana"/>
          <w:color w:val="000000"/>
          <w:sz w:val="18"/>
          <w:szCs w:val="18"/>
        </w:rPr>
        <w:t>čipový</w:t>
      </w:r>
      <w:r>
        <w:rPr>
          <w:rFonts w:ascii="Verdana" w:hAnsi="Verdana"/>
          <w:color w:val="000000"/>
          <w:sz w:val="18"/>
          <w:szCs w:val="18"/>
        </w:rPr>
        <w:t xml:space="preserve"> osobný preukaz musí byť </w:t>
      </w:r>
      <w:r w:rsidR="00B6387F">
        <w:rPr>
          <w:rFonts w:ascii="Verdana" w:hAnsi="Verdana"/>
          <w:color w:val="000000"/>
          <w:sz w:val="18"/>
          <w:szCs w:val="18"/>
        </w:rPr>
        <w:t>prečítaný</w:t>
      </w:r>
      <w:r>
        <w:rPr>
          <w:rFonts w:ascii="Verdana" w:hAnsi="Verdana"/>
          <w:color w:val="000000"/>
          <w:sz w:val="18"/>
          <w:szCs w:val="18"/>
        </w:rPr>
        <w:t>)</w:t>
      </w:r>
      <w:r w:rsidR="006F1225">
        <w:rPr>
          <w:rFonts w:ascii="Verdana" w:hAnsi="Verdana"/>
          <w:color w:val="000000"/>
          <w:sz w:val="18"/>
          <w:szCs w:val="18"/>
        </w:rPr>
        <w:t>;</w:t>
      </w:r>
    </w:p>
    <w:p w:rsidR="00DE08AF" w:rsidRPr="00ED3FEC" w:rsidRDefault="009B4382" w:rsidP="00B11089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že je štátny občan Srbskej republiky</w:t>
      </w:r>
    </w:p>
    <w:p w:rsidR="009B4382" w:rsidRPr="00ED3FEC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splnenie podmienok sa preukazuje osvedčením o štátnom občianstve nie starším ako šesť mesiacov;</w:t>
      </w:r>
    </w:p>
    <w:p w:rsidR="00DE08AF" w:rsidRPr="00DF296A" w:rsidRDefault="008708D7" w:rsidP="00B11089">
      <w:pPr>
        <w:numPr>
          <w:ilvl w:val="0"/>
          <w:numId w:val="14"/>
        </w:numPr>
        <w:spacing w:before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že  má najmenej vysokoškolské vzdelanie (pre kandidátov na stálych súdnych prekladateľov)</w:t>
      </w:r>
    </w:p>
    <w:p w:rsidR="006B76B3" w:rsidRDefault="00DE08AF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splnenie podmienok sa preukazuje  diplomom o nadobudnutom vysokoškolskom vzdelaní;</w:t>
      </w:r>
    </w:p>
    <w:p w:rsidR="006B76B3" w:rsidRDefault="006B76B3" w:rsidP="006B76B3">
      <w:pPr>
        <w:pStyle w:val="ListParagraph"/>
        <w:spacing w:line="280" w:lineRule="exact"/>
        <w:ind w:left="1440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6B76B3" w:rsidRDefault="006B76B3" w:rsidP="006B76B3">
      <w:pPr>
        <w:pStyle w:val="ListParagraph"/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že má skončené najmenej stredoškolské vzdelanie v trvaní štyroch rokov - štvrtý stupeň (pre kandidátov </w:t>
      </w:r>
      <w:r w:rsidR="006F1225">
        <w:rPr>
          <w:rFonts w:ascii="Verdana" w:hAnsi="Verdana"/>
          <w:color w:val="000000"/>
          <w:sz w:val="18"/>
          <w:szCs w:val="18"/>
        </w:rPr>
        <w:t>na</w:t>
      </w:r>
      <w:r>
        <w:rPr>
          <w:rFonts w:ascii="Verdana" w:hAnsi="Verdana"/>
          <w:color w:val="000000"/>
          <w:sz w:val="18"/>
          <w:szCs w:val="18"/>
        </w:rPr>
        <w:t xml:space="preserve"> stálych súdnych tlmočníkov znakov nevidiacich, nepočujúcich alebo nemých osôb); </w:t>
      </w:r>
    </w:p>
    <w:p w:rsidR="006B76B3" w:rsidRDefault="006B76B3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splnenie podmienok sa preukazuje  diplomom o nadobudnutom stredoškolskom vzdelaní;</w:t>
      </w:r>
    </w:p>
    <w:p w:rsidR="00B11089" w:rsidRPr="006B76B3" w:rsidRDefault="00B11089" w:rsidP="006B76B3">
      <w:pPr>
        <w:pStyle w:val="ListParagraph"/>
        <w:spacing w:line="280" w:lineRule="exact"/>
        <w:ind w:left="1440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DE08AF" w:rsidRPr="00ED3FEC" w:rsidRDefault="009B4382" w:rsidP="00B11089">
      <w:pPr>
        <w:pStyle w:val="ListParagraph"/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že mu/jej skôr nezanikol pracovný pomer v štátnom orgáne pre ťažšie porušenie povinností z pracovného pomeru</w:t>
      </w:r>
    </w:p>
    <w:p w:rsidR="009B4382" w:rsidRPr="00ED3FEC" w:rsidRDefault="00DE08AF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splnenie podmienok platí len pre kandidátov, ktorí boli, resp. stále </w:t>
      </w:r>
      <w:r w:rsidR="006F1225">
        <w:rPr>
          <w:rFonts w:ascii="Verdana" w:hAnsi="Verdana"/>
          <w:color w:val="000000"/>
          <w:sz w:val="18"/>
          <w:szCs w:val="18"/>
        </w:rPr>
        <w:t xml:space="preserve">sú </w:t>
      </w:r>
      <w:r>
        <w:rPr>
          <w:rFonts w:ascii="Verdana" w:hAnsi="Verdana"/>
          <w:color w:val="000000"/>
          <w:sz w:val="18"/>
          <w:szCs w:val="18"/>
        </w:rPr>
        <w:t xml:space="preserve">v pracovnom pomere v štátnom orgáne. </w:t>
      </w:r>
      <w:r>
        <w:rPr>
          <w:rFonts w:ascii="Verdana" w:hAnsi="Verdana"/>
          <w:sz w:val="18"/>
          <w:szCs w:val="18"/>
        </w:rPr>
        <w:t>Splnenie podmienok sa preukazuje písomných vyhlásením kandidáta, že mu/jej nezanikol pracovný pomer v štátnom orgáne pre uložené disciplinárne opatrenie. Kandidát sám zostavuje a podpisuje vyhlásenie.</w:t>
      </w:r>
    </w:p>
    <w:p w:rsidR="00DE08AF" w:rsidRPr="00AB6FB7" w:rsidRDefault="009B4382" w:rsidP="00B11089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Že nebol odsúdený na trest väzenia v trvaní najmenej šesť mesiacov.</w:t>
      </w:r>
    </w:p>
    <w:p w:rsidR="00B11089" w:rsidRPr="00572E3D" w:rsidRDefault="003E4ADB" w:rsidP="00AB6FB7">
      <w:pPr>
        <w:pStyle w:val="ListParagraph"/>
        <w:numPr>
          <w:ilvl w:val="1"/>
          <w:numId w:val="14"/>
        </w:numPr>
        <w:spacing w:after="120" w:line="280" w:lineRule="exact"/>
        <w:jc w:val="both"/>
      </w:pPr>
      <w:r>
        <w:rPr>
          <w:rFonts w:ascii="Verdana" w:hAnsi="Verdana"/>
          <w:sz w:val="18"/>
          <w:szCs w:val="18"/>
        </w:rPr>
        <w:t xml:space="preserve">Splnenie podmienok sa preukazuje na základe osvedčenia z evidencie trestov príslušnej Policajnej správy MV RS, nie staršieho ako šesť mesiacov. </w:t>
      </w:r>
    </w:p>
    <w:p w:rsidR="009B4382" w:rsidRPr="00DF296A" w:rsidRDefault="009B4382" w:rsidP="00F42FAE">
      <w:pPr>
        <w:spacing w:after="120" w:line="280" w:lineRule="exact"/>
        <w:ind w:left="360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Osobitné podmienky pre kandidát</w:t>
      </w:r>
      <w:r w:rsidR="006F1225">
        <w:rPr>
          <w:rFonts w:ascii="Verdana" w:hAnsi="Verdana"/>
          <w:b/>
          <w:color w:val="000000"/>
          <w:sz w:val="18"/>
          <w:szCs w:val="18"/>
        </w:rPr>
        <w:t>a</w:t>
      </w:r>
      <w:r>
        <w:rPr>
          <w:rFonts w:ascii="Verdana" w:hAnsi="Verdana"/>
          <w:b/>
          <w:color w:val="000000"/>
          <w:sz w:val="18"/>
          <w:szCs w:val="18"/>
        </w:rPr>
        <w:t>:</w:t>
      </w:r>
    </w:p>
    <w:p w:rsidR="002B717E" w:rsidRPr="00DF296A" w:rsidRDefault="009B4382" w:rsidP="00DE08AF">
      <w:pPr>
        <w:numPr>
          <w:ilvl w:val="0"/>
          <w:numId w:val="9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že má zodpovedajúce vysokoškolské vzdelanie pre určitý cudzí jazyk alebo má úplnú znalosť jazyka z ktorého a do ktorého prekladá ústny prejav alebo písaný text  </w:t>
      </w:r>
    </w:p>
    <w:p w:rsidR="00AC726F" w:rsidRPr="001A252F" w:rsidRDefault="003E4ADB" w:rsidP="00DE08AF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- splnenie podmienok sa preukazuje:</w:t>
      </w:r>
    </w:p>
    <w:p w:rsidR="001A252F" w:rsidRPr="001A252F" w:rsidRDefault="00AC726F" w:rsidP="001A252F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diplomom o nadobudnutom vysokoškolskom vzdelaní pre určitý cudzí jazyk (pre kandidátov na stálych súdnych prekladateľov);</w:t>
      </w:r>
    </w:p>
    <w:p w:rsidR="001A2D1E" w:rsidRPr="001A252F" w:rsidRDefault="001A2D1E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osvedčen</w:t>
      </w:r>
      <w:r w:rsidR="006F1225">
        <w:rPr>
          <w:rFonts w:ascii="Verdana" w:hAnsi="Verdana"/>
          <w:sz w:val="18"/>
          <w:szCs w:val="18"/>
        </w:rPr>
        <w:t>ím</w:t>
      </w:r>
      <w:r>
        <w:rPr>
          <w:rFonts w:ascii="Verdana" w:hAnsi="Verdana"/>
          <w:sz w:val="18"/>
          <w:szCs w:val="18"/>
        </w:rPr>
        <w:t xml:space="preserve"> komisie o predbežne zloženej previerke znalosti jazyka; </w:t>
      </w:r>
    </w:p>
    <w:p w:rsidR="001A2D1E" w:rsidRPr="001A252F" w:rsidRDefault="00E16E9D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previerkou znalosti jazyka, ktorú uskutočňuje komisia;</w:t>
      </w:r>
    </w:p>
    <w:p w:rsidR="003E4ADB" w:rsidRPr="00DF296A" w:rsidRDefault="009B4382" w:rsidP="005F2154">
      <w:pPr>
        <w:numPr>
          <w:ilvl w:val="0"/>
          <w:numId w:val="9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že pozná právnu terminológiu, ktorá sa používa v jazyku z ktorého a do ktorého sa prekladá</w:t>
      </w:r>
    </w:p>
    <w:p w:rsidR="00F27ED1" w:rsidRDefault="005F2154" w:rsidP="00F27ED1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- splnenie podmienok sa preukazuje previerkou znalosti právnej terminológie, ktorú uskutočňuje komisia, resp. osvedčením komisie o predbežne zloženej previerke znalosti právnej terminológie;</w:t>
      </w:r>
    </w:p>
    <w:p w:rsidR="002B717E" w:rsidRPr="001A252F" w:rsidRDefault="009B4382" w:rsidP="001A252F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spacing w:before="40" w:line="280" w:lineRule="exact"/>
        <w:ind w:hanging="578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že má najmenej päťročnú skúsenosť </w:t>
      </w:r>
      <w:r w:rsidR="006F1225">
        <w:rPr>
          <w:rFonts w:ascii="Verdana" w:hAnsi="Verdana"/>
          <w:sz w:val="18"/>
          <w:szCs w:val="18"/>
        </w:rPr>
        <w:t>na</w:t>
      </w:r>
      <w:r>
        <w:rPr>
          <w:rFonts w:ascii="Verdana" w:hAnsi="Verdana"/>
          <w:sz w:val="18"/>
          <w:szCs w:val="18"/>
        </w:rPr>
        <w:t xml:space="preserve"> prekladateľských úkonoch, resp. ako tlmočník posunkovej reči;  </w:t>
      </w:r>
    </w:p>
    <w:p w:rsidR="009B4382" w:rsidRDefault="005F2154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- splnenie podmienok sa preukazuje osvedčením o skúsenosti na prekladateľských úkonoch.</w:t>
      </w:r>
    </w:p>
    <w:p w:rsidR="008A17D8" w:rsidRDefault="008A17D8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8A17D8" w:rsidRPr="00DF296A" w:rsidRDefault="008A17D8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9B4382" w:rsidRPr="00DF296A" w:rsidRDefault="009B4382" w:rsidP="005F2154">
      <w:pPr>
        <w:spacing w:before="120"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III.</w:t>
      </w:r>
    </w:p>
    <w:p w:rsidR="003E1741" w:rsidRPr="00102B95" w:rsidRDefault="00F42FAE" w:rsidP="00705C79">
      <w:pPr>
        <w:spacing w:after="120" w:line="280" w:lineRule="exact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S prihláškou na oznam kandidát  doručuje </w:t>
      </w:r>
      <w:r>
        <w:rPr>
          <w:rFonts w:ascii="Verdana" w:hAnsi="Verdana"/>
          <w:b/>
          <w:sz w:val="18"/>
          <w:szCs w:val="18"/>
          <w:u w:val="single"/>
        </w:rPr>
        <w:t>originál alebo overenú fotokópiu</w:t>
      </w:r>
      <w:r>
        <w:rPr>
          <w:rFonts w:ascii="Verdana" w:hAnsi="Verdana"/>
          <w:sz w:val="18"/>
          <w:szCs w:val="18"/>
        </w:rPr>
        <w:t xml:space="preserve"> žiadaných dôkazov, overenú u notára alebo obecnými správami, pre ktoré nie sú menovaní notári.</w:t>
      </w:r>
    </w:p>
    <w:p w:rsidR="009B4382" w:rsidRPr="00DF296A" w:rsidRDefault="003E1741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Dôkazy o splnení podmienok z článku II odsek 1 body 2 a 6, v súlade s článkom 103 odsek 2 Zákona o všeobecnom správnom konaní (vestník Službeni glasnik RS číslo 18/2016) z úradnej povinnosti obstaráva Pokrajinský sekretariát vzdelávania, predpisov, správy a národnostných menšín - národnostných spoločenstiev.</w:t>
      </w:r>
    </w:p>
    <w:p w:rsidR="009B4382" w:rsidRPr="00DF296A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IV.</w:t>
      </w:r>
    </w:p>
    <w:p w:rsidR="008708D7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 xml:space="preserve">Komisia - ktorú zriaďuje pokrajinský tajomník - prerokúva prihlášky kandidátov a odovzdané dôkazy a uskutočňuje previerku znalosti jazyka a právnej terminológie z dôvodu preukázania splnenia osobitných podmienok. </w:t>
      </w:r>
    </w:p>
    <w:p w:rsidR="009B4382" w:rsidRPr="00DF296A" w:rsidRDefault="008708D7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>Náklady previerky hradí kandidát.</w:t>
      </w:r>
    </w:p>
    <w:p w:rsidR="009B4382" w:rsidRPr="00DF296A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V.</w:t>
      </w:r>
    </w:p>
    <w:p w:rsidR="008708D7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>Prihlášky na oznam, s dôkazmi o spĺňaní podmienok z bodu II. tohto oznamu, sa doručujú v 30-dňovej lehote po dni uverejnenia oznamu na adresu:</w:t>
      </w:r>
    </w:p>
    <w:p w:rsidR="00157989" w:rsidRPr="00DF296A" w:rsidRDefault="008708D7" w:rsidP="00157989">
      <w:pPr>
        <w:spacing w:line="240" w:lineRule="exact"/>
        <w:jc w:val="both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 xml:space="preserve">Pokrajinský sekretariát vzdelávania, predpisov, správy a národnostných menšín - národnostných spoločenstiev, Bulvár Mihajla Pupina číslo 16, 21 000 Nový Sad, s označením: </w:t>
      </w:r>
      <w:r>
        <w:rPr>
          <w:rFonts w:ascii="Verdana" w:hAnsi="Verdana"/>
          <w:i/>
          <w:color w:val="000000"/>
          <w:sz w:val="18"/>
          <w:szCs w:val="18"/>
          <w:u w:val="single"/>
        </w:rPr>
        <w:t>Prihláška na oznam o dosadenie stálych súdnych prekladateľov a stálych súdnych tlmočníkov znakov nevidiacich, nepočujúcich a nemých osôb pre obvody vyšších súdov na území AP Vojvodiny,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F42FAE" w:rsidRPr="00DF296A" w:rsidRDefault="00F42FAE" w:rsidP="00705C79">
      <w:pPr>
        <w:spacing w:after="120" w:line="280" w:lineRule="exact"/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</w:p>
    <w:p w:rsidR="009B4382" w:rsidRPr="00AB6FB7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 xml:space="preserve">Prihlášky sa podávajú na tlačive, ktoré si možno stiahnuť z webovej stránky Pokrajinského sekretariátu vzdelávania, predpisov, správy a národnostných menšín - národnostných spoločenstiev </w:t>
      </w:r>
      <w:hyperlink r:id="rId9" w:history="1">
        <w:r>
          <w:rPr>
            <w:rStyle w:val="Hyperlink"/>
            <w:rFonts w:ascii="Verdana" w:hAnsi="Verdana"/>
            <w:sz w:val="18"/>
            <w:szCs w:val="18"/>
          </w:rPr>
          <w:t>www.puma.vojvodina.gov.rs</w:t>
        </w:r>
      </w:hyperlink>
      <w:r>
        <w:t>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407D33">
        <w:rPr>
          <w:rFonts w:ascii="Verdana" w:hAnsi="Verdana"/>
          <w:color w:val="000000"/>
          <w:sz w:val="18"/>
          <w:szCs w:val="18"/>
        </w:rPr>
        <w:t>z </w:t>
      </w:r>
      <w:r>
        <w:rPr>
          <w:rFonts w:ascii="Verdana" w:hAnsi="Verdana"/>
          <w:color w:val="000000"/>
          <w:sz w:val="18"/>
          <w:szCs w:val="18"/>
        </w:rPr>
        <w:t>časti</w:t>
      </w:r>
      <w:r w:rsidR="00407D3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„Servisy” – rubrika „Súdni tlmočníci”.</w:t>
      </w:r>
    </w:p>
    <w:p w:rsidR="009B4382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>Oneskorené, neprípustné, nezrozumiteľné a neúplné prihlášky - nebudú sa rozoberať.</w:t>
      </w:r>
    </w:p>
    <w:p w:rsidR="00BF5021" w:rsidRPr="00572E3D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>Previerka znalosti jazyka sa uskutoční najskôr do 30 dní po poslednom dni lehoty na odovzdanie prihlášok.</w:t>
      </w:r>
    </w:p>
    <w:p w:rsidR="009B4382" w:rsidRPr="00DF296A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VI.</w:t>
      </w:r>
    </w:p>
    <w:p w:rsidR="009B4382" w:rsidRPr="00CF196B" w:rsidRDefault="00E249DA" w:rsidP="00123957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  <w:t xml:space="preserve">V súlade so Zákonom o republikových administratívnych poplatkoch, sadzobník 1, je kandidát povinný pri odovzdaní prihlášky uhradiť 310,00 dinárov - ako poplatok za žiadosť, na žírový účet č. </w:t>
      </w:r>
      <w:r>
        <w:rPr>
          <w:rFonts w:ascii="Verdana" w:hAnsi="Verdana"/>
          <w:b/>
          <w:color w:val="000000"/>
          <w:sz w:val="18"/>
          <w:szCs w:val="18"/>
        </w:rPr>
        <w:t xml:space="preserve">840-742221843-57, referenčné číslo 97 11-223, </w:t>
      </w:r>
      <w:r>
        <w:rPr>
          <w:rFonts w:ascii="Verdana" w:hAnsi="Verdana"/>
          <w:color w:val="000000"/>
          <w:sz w:val="18"/>
          <w:szCs w:val="18"/>
        </w:rPr>
        <w:t>účel platby</w:t>
      </w:r>
      <w:r>
        <w:rPr>
          <w:rFonts w:ascii="Verdana" w:hAnsi="Verdana"/>
          <w:b/>
          <w:color w:val="000000"/>
          <w:sz w:val="18"/>
          <w:szCs w:val="18"/>
        </w:rPr>
        <w:t xml:space="preserve"> – </w:t>
      </w:r>
      <w:r>
        <w:rPr>
          <w:rFonts w:ascii="Verdana" w:hAnsi="Verdana"/>
          <w:color w:val="000000"/>
          <w:sz w:val="18"/>
          <w:szCs w:val="18"/>
        </w:rPr>
        <w:t>republikový administratívny poplatok, príjemca: Rozpočet Srbskej republiky.</w:t>
      </w:r>
    </w:p>
    <w:p w:rsidR="00C74ACF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POKRAJINSKÝ SEKRETARIÁT VZDELÁVANIA, PREDPISOV, SPRÁVY A </w:t>
      </w:r>
    </w:p>
    <w:p w:rsidR="009B4382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NÁRODNOSTNÝCH MENŠÍN – NÁRODNOSTNÝCH SPOLOČENSTIEV</w:t>
      </w:r>
    </w:p>
    <w:p w:rsidR="009B4382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AUTONÓMNA POKRAJINA VOJVODINA</w:t>
      </w:r>
    </w:p>
    <w:p w:rsidR="009B4382" w:rsidRPr="00DF296A" w:rsidRDefault="009B4382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SRBSKÁ REPUBLIKA</w:t>
      </w:r>
    </w:p>
    <w:p w:rsidR="00572E3D" w:rsidRPr="008A17D8" w:rsidRDefault="00CE2ADB" w:rsidP="00572E3D">
      <w:pPr>
        <w:spacing w:line="280" w:lineRule="exact"/>
        <w:jc w:val="center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sz w:val="18"/>
          <w:szCs w:val="18"/>
        </w:rPr>
        <w:t>128 -74-10/2018-02 z 21.11.2018</w:t>
      </w:r>
    </w:p>
    <w:p w:rsidR="00572E3D" w:rsidRDefault="00572E3D" w:rsidP="00572E3D">
      <w:pPr>
        <w:rPr>
          <w:lang w:val="sr-Cyrl-RS"/>
        </w:rPr>
      </w:pPr>
    </w:p>
    <w:p w:rsidR="00572E3D" w:rsidRPr="00572E3D" w:rsidRDefault="00572E3D" w:rsidP="00572E3D">
      <w:pPr>
        <w:ind w:left="709" w:firstLine="538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POKRAJINSKÝ TAJOMNÍK</w:t>
      </w:r>
    </w:p>
    <w:p w:rsidR="00572E3D" w:rsidRPr="00572E3D" w:rsidRDefault="00572E3D" w:rsidP="00572E3D">
      <w:pPr>
        <w:ind w:left="709"/>
        <w:rPr>
          <w:rFonts w:ascii="Verdana" w:hAnsi="Verdana"/>
          <w:sz w:val="18"/>
          <w:szCs w:val="18"/>
          <w:lang w:val="sr-Cyrl-RS"/>
        </w:rPr>
      </w:pPr>
    </w:p>
    <w:p w:rsidR="00572E3D" w:rsidRPr="00572E3D" w:rsidRDefault="00572E3D" w:rsidP="00572E3D">
      <w:pPr>
        <w:tabs>
          <w:tab w:val="left" w:pos="6521"/>
          <w:tab w:val="center" w:pos="666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Mihály Nyilas</w:t>
      </w:r>
    </w:p>
    <w:p w:rsidR="00550D2B" w:rsidRPr="00572E3D" w:rsidRDefault="00572E3D" w:rsidP="00572E3D">
      <w:pPr>
        <w:tabs>
          <w:tab w:val="left" w:pos="6237"/>
          <w:tab w:val="left" w:pos="6379"/>
          <w:tab w:val="center" w:pos="7200"/>
        </w:tabs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</w:p>
    <w:sectPr w:rsidR="00550D2B" w:rsidRPr="00572E3D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18" w:rsidRDefault="00703A18" w:rsidP="00C6172A">
      <w:r>
        <w:separator/>
      </w:r>
    </w:p>
  </w:endnote>
  <w:endnote w:type="continuationSeparator" w:id="0">
    <w:p w:rsidR="00703A18" w:rsidRDefault="00703A18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18" w:rsidRDefault="00703A18" w:rsidP="00C6172A">
      <w:r>
        <w:separator/>
      </w:r>
    </w:p>
  </w:footnote>
  <w:footnote w:type="continuationSeparator" w:id="0">
    <w:p w:rsidR="00703A18" w:rsidRDefault="00703A18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5332D"/>
    <w:rsid w:val="00065BFE"/>
    <w:rsid w:val="00066977"/>
    <w:rsid w:val="000A582A"/>
    <w:rsid w:val="000B47B0"/>
    <w:rsid w:val="000C0EAB"/>
    <w:rsid w:val="000C3514"/>
    <w:rsid w:val="00102B95"/>
    <w:rsid w:val="001116FB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E1741"/>
    <w:rsid w:val="003E4ADB"/>
    <w:rsid w:val="00407D33"/>
    <w:rsid w:val="00431BCF"/>
    <w:rsid w:val="00486BDC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96FAC"/>
    <w:rsid w:val="006B76B3"/>
    <w:rsid w:val="006D0FF7"/>
    <w:rsid w:val="006D37FC"/>
    <w:rsid w:val="006D6DD2"/>
    <w:rsid w:val="006F1225"/>
    <w:rsid w:val="00703A18"/>
    <w:rsid w:val="00705C79"/>
    <w:rsid w:val="0072090A"/>
    <w:rsid w:val="007565F4"/>
    <w:rsid w:val="00770485"/>
    <w:rsid w:val="00781BFA"/>
    <w:rsid w:val="007A1910"/>
    <w:rsid w:val="007A530C"/>
    <w:rsid w:val="008149E7"/>
    <w:rsid w:val="00814EF7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907C5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6387F"/>
    <w:rsid w:val="00B6502A"/>
    <w:rsid w:val="00B673BF"/>
    <w:rsid w:val="00BA51F6"/>
    <w:rsid w:val="00BB4038"/>
    <w:rsid w:val="00BB40C2"/>
    <w:rsid w:val="00BF5021"/>
    <w:rsid w:val="00C103BA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D101FC"/>
    <w:rsid w:val="00D20D79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363A1"/>
    <w:rsid w:val="00EA180B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DAAD-179E-4C3C-8140-5C9B7218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6119</Characters>
  <Application>Microsoft Office Word</Application>
  <DocSecurity>4</DocSecurity>
  <Lines>95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2018-11-05T08:36:00Z</cp:lastPrinted>
  <dcterms:created xsi:type="dcterms:W3CDTF">2018-11-16T11:50:00Z</dcterms:created>
  <dcterms:modified xsi:type="dcterms:W3CDTF">2018-11-16T11:50:00Z</dcterms:modified>
</cp:coreProperties>
</file>